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DEF" w:rsidRPr="00E871B0" w:rsidRDefault="00E63DEF" w:rsidP="008961DA">
      <w:pPr>
        <w:pStyle w:val="Ttulo"/>
      </w:pPr>
      <w:r w:rsidRPr="00E871B0">
        <w:t>INICIATIVA</w:t>
      </w:r>
    </w:p>
    <w:p w:rsidR="00E63DEF" w:rsidRPr="00E871B0" w:rsidRDefault="00E63DEF" w:rsidP="00E63DEF">
      <w:pPr>
        <w:ind w:left="4395"/>
        <w:rPr>
          <w:rFonts w:ascii="Arial" w:hAnsi="Arial" w:cs="Arial"/>
          <w:bCs/>
          <w:sz w:val="24"/>
          <w:szCs w:val="24"/>
        </w:rPr>
      </w:pPr>
      <w:r w:rsidRPr="00E871B0">
        <w:rPr>
          <w:rFonts w:ascii="Arial" w:hAnsi="Arial" w:cs="Arial"/>
          <w:bCs/>
          <w:sz w:val="24"/>
          <w:szCs w:val="24"/>
        </w:rPr>
        <w:t>Ley de Ingresos del Municipio Aten</w:t>
      </w:r>
      <w:r>
        <w:rPr>
          <w:rFonts w:ascii="Arial" w:hAnsi="Arial" w:cs="Arial"/>
          <w:bCs/>
          <w:sz w:val="24"/>
          <w:szCs w:val="24"/>
        </w:rPr>
        <w:t>go para el ejercicio fiscal 2018</w:t>
      </w:r>
    </w:p>
    <w:p w:rsidR="00E63DEF" w:rsidRPr="00E871B0" w:rsidRDefault="00E63DEF" w:rsidP="00E63DEF">
      <w:pPr>
        <w:ind w:left="4395"/>
        <w:rPr>
          <w:rFonts w:ascii="Arial" w:hAnsi="Arial" w:cs="Arial"/>
          <w:b/>
          <w:bCs/>
          <w:sz w:val="24"/>
          <w:szCs w:val="24"/>
        </w:rPr>
      </w:pPr>
    </w:p>
    <w:p w:rsidR="00E63DEF" w:rsidRPr="00E871B0" w:rsidRDefault="00E63DEF" w:rsidP="00E63DEF">
      <w:pPr>
        <w:ind w:left="4395"/>
        <w:rPr>
          <w:rFonts w:ascii="Arial" w:hAnsi="Arial" w:cs="Arial"/>
          <w:b/>
          <w:bCs/>
          <w:sz w:val="24"/>
          <w:szCs w:val="24"/>
        </w:rPr>
      </w:pPr>
      <w:r w:rsidRPr="00E871B0">
        <w:rPr>
          <w:rFonts w:ascii="Arial" w:hAnsi="Arial" w:cs="Arial"/>
          <w:b/>
          <w:bCs/>
          <w:sz w:val="24"/>
          <w:szCs w:val="24"/>
        </w:rPr>
        <w:t>AUTOR:</w:t>
      </w:r>
    </w:p>
    <w:p w:rsidR="00E63DEF" w:rsidRPr="00E871B0" w:rsidRDefault="00E63DEF" w:rsidP="00E63DEF">
      <w:pPr>
        <w:ind w:left="3833" w:firstLine="562"/>
        <w:rPr>
          <w:rFonts w:ascii="Arial" w:hAnsi="Arial" w:cs="Arial"/>
          <w:bCs/>
          <w:sz w:val="24"/>
          <w:szCs w:val="24"/>
        </w:rPr>
      </w:pPr>
      <w:r w:rsidRPr="00E871B0">
        <w:rPr>
          <w:rFonts w:ascii="Arial" w:hAnsi="Arial" w:cs="Arial"/>
          <w:bCs/>
          <w:sz w:val="24"/>
          <w:szCs w:val="24"/>
        </w:rPr>
        <w:t>Ayuntamiento de Atengo; Jalisco</w:t>
      </w:r>
    </w:p>
    <w:p w:rsidR="00E63DEF" w:rsidRPr="00E871B0" w:rsidRDefault="00E63DEF" w:rsidP="00E63DEF">
      <w:pPr>
        <w:ind w:left="3686"/>
        <w:rPr>
          <w:rFonts w:ascii="Arial" w:hAnsi="Arial" w:cs="Arial"/>
          <w:bCs/>
          <w:sz w:val="24"/>
          <w:szCs w:val="24"/>
        </w:rPr>
      </w:pPr>
    </w:p>
    <w:p w:rsidR="00E63DEF" w:rsidRPr="00E871B0" w:rsidRDefault="00E63DEF" w:rsidP="00E63DEF">
      <w:pPr>
        <w:ind w:left="3828"/>
        <w:rPr>
          <w:rFonts w:ascii="Arial" w:hAnsi="Arial" w:cs="Arial"/>
          <w:b/>
          <w:bCs/>
          <w:sz w:val="24"/>
          <w:szCs w:val="24"/>
        </w:rPr>
      </w:pPr>
      <w:r w:rsidRPr="00E871B0">
        <w:rPr>
          <w:rFonts w:ascii="Arial" w:hAnsi="Arial" w:cs="Arial"/>
          <w:b/>
          <w:bCs/>
          <w:sz w:val="24"/>
          <w:szCs w:val="24"/>
        </w:rPr>
        <w:t>ASUNTO:</w:t>
      </w:r>
    </w:p>
    <w:p w:rsidR="00E63DEF" w:rsidRPr="00E871B0" w:rsidRDefault="00E63DEF" w:rsidP="00E63DEF">
      <w:pPr>
        <w:ind w:left="3828"/>
        <w:rPr>
          <w:rFonts w:ascii="Arial" w:hAnsi="Arial" w:cs="Arial"/>
          <w:b/>
          <w:bCs/>
          <w:sz w:val="24"/>
          <w:szCs w:val="24"/>
        </w:rPr>
      </w:pPr>
      <w:r w:rsidRPr="00E871B0">
        <w:rPr>
          <w:rFonts w:ascii="Arial" w:hAnsi="Arial" w:cs="Arial"/>
          <w:sz w:val="24"/>
          <w:szCs w:val="24"/>
        </w:rPr>
        <w:t xml:space="preserve">Expide la Ley de Ingresos del municipio de </w:t>
      </w:r>
      <w:r w:rsidRPr="00E871B0">
        <w:rPr>
          <w:rFonts w:ascii="Arial" w:hAnsi="Arial" w:cs="Arial"/>
          <w:bCs/>
          <w:sz w:val="24"/>
          <w:szCs w:val="24"/>
        </w:rPr>
        <w:t>Atengo</w:t>
      </w:r>
      <w:r w:rsidRPr="00E871B0">
        <w:rPr>
          <w:rFonts w:ascii="Arial" w:hAnsi="Arial" w:cs="Arial"/>
          <w:sz w:val="24"/>
          <w:szCs w:val="24"/>
        </w:rPr>
        <w:t>, Jalisc</w:t>
      </w:r>
      <w:r>
        <w:rPr>
          <w:rFonts w:ascii="Arial" w:hAnsi="Arial" w:cs="Arial"/>
          <w:sz w:val="24"/>
          <w:szCs w:val="24"/>
        </w:rPr>
        <w:t>o, para el ejercicio fiscal 2018</w:t>
      </w:r>
    </w:p>
    <w:p w:rsidR="00E63DEF" w:rsidRPr="00E871B0" w:rsidRDefault="00E63DEF" w:rsidP="00E63DEF">
      <w:pPr>
        <w:pStyle w:val="Default"/>
        <w:jc w:val="both"/>
        <w:rPr>
          <w:color w:val="auto"/>
          <w:lang w:val="es-ES"/>
        </w:rPr>
      </w:pPr>
    </w:p>
    <w:p w:rsidR="00E63DEF" w:rsidRPr="00E871B0" w:rsidRDefault="00E63DEF" w:rsidP="00E63DEF">
      <w:pPr>
        <w:autoSpaceDE w:val="0"/>
        <w:autoSpaceDN w:val="0"/>
        <w:adjustRightInd w:val="0"/>
        <w:ind w:right="-425"/>
        <w:rPr>
          <w:rFonts w:ascii="Arial" w:hAnsi="Arial" w:cs="Arial"/>
          <w:b/>
          <w:bCs/>
          <w:sz w:val="24"/>
          <w:szCs w:val="24"/>
        </w:rPr>
      </w:pPr>
    </w:p>
    <w:p w:rsidR="00E63DEF" w:rsidRPr="00E871B0" w:rsidRDefault="00E63DEF" w:rsidP="00E63DEF">
      <w:pPr>
        <w:autoSpaceDE w:val="0"/>
        <w:autoSpaceDN w:val="0"/>
        <w:adjustRightInd w:val="0"/>
        <w:ind w:right="-425"/>
        <w:rPr>
          <w:rFonts w:ascii="Arial" w:hAnsi="Arial" w:cs="Arial"/>
          <w:b/>
          <w:bCs/>
          <w:sz w:val="24"/>
          <w:szCs w:val="24"/>
        </w:rPr>
      </w:pPr>
      <w:r w:rsidRPr="00E871B0">
        <w:rPr>
          <w:rFonts w:ascii="Arial" w:hAnsi="Arial" w:cs="Arial"/>
          <w:b/>
          <w:bCs/>
          <w:sz w:val="24"/>
          <w:szCs w:val="24"/>
        </w:rPr>
        <w:t>H. CONGRESO DEL ESTADO DE JALISCO.</w:t>
      </w:r>
    </w:p>
    <w:p w:rsidR="00E63DEF" w:rsidRPr="00E871B0" w:rsidRDefault="00E63DEF" w:rsidP="00E63DEF">
      <w:pPr>
        <w:autoSpaceDE w:val="0"/>
        <w:autoSpaceDN w:val="0"/>
        <w:adjustRightInd w:val="0"/>
        <w:ind w:right="-425"/>
        <w:rPr>
          <w:rFonts w:ascii="Arial" w:hAnsi="Arial" w:cs="Arial"/>
          <w:b/>
          <w:bCs/>
          <w:sz w:val="24"/>
          <w:szCs w:val="24"/>
        </w:rPr>
      </w:pPr>
      <w:r w:rsidRPr="00E871B0">
        <w:rPr>
          <w:rFonts w:ascii="Arial" w:hAnsi="Arial" w:cs="Arial"/>
          <w:b/>
          <w:bCs/>
          <w:sz w:val="24"/>
          <w:szCs w:val="24"/>
        </w:rPr>
        <w:t>P R E S E N T E S.</w:t>
      </w:r>
    </w:p>
    <w:p w:rsidR="00E63DEF" w:rsidRPr="00E871B0" w:rsidRDefault="00E63DEF" w:rsidP="00E63DEF">
      <w:pPr>
        <w:autoSpaceDE w:val="0"/>
        <w:autoSpaceDN w:val="0"/>
        <w:adjustRightInd w:val="0"/>
        <w:ind w:right="-425"/>
        <w:rPr>
          <w:rFonts w:ascii="Arial" w:hAnsi="Arial" w:cs="Arial"/>
          <w:b/>
          <w:bCs/>
          <w:sz w:val="24"/>
          <w:szCs w:val="24"/>
        </w:rPr>
      </w:pPr>
    </w:p>
    <w:p w:rsidR="00E63DEF" w:rsidRPr="00E871B0" w:rsidRDefault="00E63DEF" w:rsidP="00E63DEF">
      <w:pPr>
        <w:pStyle w:val="Default"/>
        <w:jc w:val="both"/>
        <w:rPr>
          <w:color w:val="auto"/>
        </w:rPr>
      </w:pPr>
    </w:p>
    <w:p w:rsidR="00E63DEF" w:rsidRPr="00E871B0" w:rsidRDefault="00E63DEF" w:rsidP="00E63DEF">
      <w:pPr>
        <w:pStyle w:val="Default"/>
        <w:jc w:val="both"/>
        <w:rPr>
          <w:color w:val="auto"/>
        </w:rPr>
      </w:pPr>
      <w:r w:rsidRPr="00E871B0">
        <w:rPr>
          <w:bCs/>
          <w:color w:val="auto"/>
        </w:rPr>
        <w:t>El que suscribe</w:t>
      </w:r>
      <w:r w:rsidRPr="00E871B0">
        <w:rPr>
          <w:b/>
          <w:bCs/>
          <w:color w:val="auto"/>
        </w:rPr>
        <w:t xml:space="preserve"> </w:t>
      </w:r>
      <w:r w:rsidRPr="00E871B0">
        <w:rPr>
          <w:b/>
          <w:bCs/>
          <w:color w:val="auto"/>
          <w:u w:val="single"/>
        </w:rPr>
        <w:t>Lic. José de la Cruz González Regalado</w:t>
      </w:r>
      <w:r w:rsidRPr="00E871B0">
        <w:rPr>
          <w:color w:val="auto"/>
        </w:rPr>
        <w:t xml:space="preserve">, Presidente Municipal de </w:t>
      </w:r>
      <w:r w:rsidRPr="00E871B0">
        <w:rPr>
          <w:bCs/>
          <w:color w:val="auto"/>
        </w:rPr>
        <w:t>Atengo</w:t>
      </w:r>
      <w:r w:rsidRPr="00E871B0">
        <w:rPr>
          <w:color w:val="auto"/>
        </w:rPr>
        <w:t xml:space="preserve">, Jalisco, conforme a lo dispuesto por los artículos 115, fracción IV, inciso c), de la Constitución Política de los Estados Unidos Mexicanos, 28 fracción IV, 88 y 89 de la Constitución Política del Estado de Jalisco, y 37, fracción I de la Ley del Gobierno y la Administración Pública Municipal del Estado de Jalisco; presento a este H. Congreso Estatal, la Iniciativa de Ley de Ingresos del municipio de </w:t>
      </w:r>
      <w:r w:rsidRPr="00E871B0">
        <w:rPr>
          <w:bCs/>
          <w:color w:val="auto"/>
        </w:rPr>
        <w:t>Atengo</w:t>
      </w:r>
      <w:r w:rsidRPr="00E871B0">
        <w:rPr>
          <w:color w:val="auto"/>
        </w:rPr>
        <w:t>, Jalisc</w:t>
      </w:r>
      <w:r>
        <w:rPr>
          <w:color w:val="auto"/>
        </w:rPr>
        <w:t>o, para el ejercicio fiscal 2018</w:t>
      </w:r>
      <w:r w:rsidRPr="00E871B0">
        <w:rPr>
          <w:color w:val="auto"/>
        </w:rPr>
        <w:t xml:space="preserve">, aprobada en sesión </w:t>
      </w:r>
      <w:r w:rsidRPr="00E871B0">
        <w:rPr>
          <w:color w:val="auto"/>
          <w:highlight w:val="yellow"/>
        </w:rPr>
        <w:t>(ordinaria o extraordinaria)</w:t>
      </w:r>
      <w:r w:rsidRPr="00E871B0">
        <w:rPr>
          <w:color w:val="auto"/>
        </w:rPr>
        <w:t xml:space="preserve"> de Cabildo de fechas </w:t>
      </w:r>
      <w:r w:rsidRPr="00E871B0">
        <w:rPr>
          <w:color w:val="auto"/>
          <w:highlight w:val="yellow"/>
        </w:rPr>
        <w:t>XXXXXXXXXXXXXXX</w:t>
      </w:r>
      <w:r w:rsidRPr="00E871B0">
        <w:rPr>
          <w:color w:val="auto"/>
        </w:rPr>
        <w:t>; la cual se sustenta en base a los antecedentes y consideraciones siguientes:</w:t>
      </w:r>
    </w:p>
    <w:p w:rsidR="00E63DEF" w:rsidRPr="00E871B0" w:rsidRDefault="00E63DEF" w:rsidP="00E63DEF">
      <w:pPr>
        <w:pStyle w:val="Default"/>
        <w:jc w:val="both"/>
        <w:rPr>
          <w:color w:val="auto"/>
        </w:rPr>
      </w:pPr>
    </w:p>
    <w:p w:rsidR="00E63DEF" w:rsidRPr="00E871B0" w:rsidRDefault="00E63DEF" w:rsidP="00E63DEF">
      <w:pPr>
        <w:rPr>
          <w:rFonts w:ascii="Arial" w:hAnsi="Arial" w:cs="Arial"/>
          <w:sz w:val="24"/>
          <w:szCs w:val="24"/>
        </w:rPr>
      </w:pPr>
      <w:r w:rsidRPr="00E871B0">
        <w:rPr>
          <w:rFonts w:ascii="Arial" w:hAnsi="Arial" w:cs="Arial"/>
          <w:b/>
          <w:sz w:val="24"/>
          <w:szCs w:val="24"/>
        </w:rPr>
        <w:t>E L E M E N T O S:</w:t>
      </w:r>
    </w:p>
    <w:p w:rsidR="00E63DEF" w:rsidRPr="00E871B0" w:rsidRDefault="00E63DEF" w:rsidP="00E63DEF">
      <w:pPr>
        <w:rPr>
          <w:rFonts w:ascii="Arial" w:hAnsi="Arial" w:cs="Arial"/>
          <w:b/>
          <w:sz w:val="24"/>
          <w:szCs w:val="24"/>
        </w:rPr>
      </w:pPr>
    </w:p>
    <w:p w:rsidR="00E63DEF" w:rsidRPr="00E871B0" w:rsidRDefault="00E63DEF" w:rsidP="00E63DEF">
      <w:pPr>
        <w:rPr>
          <w:rFonts w:ascii="Arial" w:hAnsi="Arial" w:cs="Arial"/>
          <w:sz w:val="24"/>
          <w:szCs w:val="24"/>
        </w:rPr>
      </w:pPr>
      <w:r w:rsidRPr="00E871B0">
        <w:rPr>
          <w:rFonts w:ascii="Arial" w:hAnsi="Arial" w:cs="Arial"/>
          <w:b/>
          <w:sz w:val="24"/>
          <w:szCs w:val="24"/>
        </w:rPr>
        <w:t>PRIMERO.-</w:t>
      </w:r>
      <w:r w:rsidRPr="00E871B0">
        <w:rPr>
          <w:rFonts w:ascii="Arial" w:hAnsi="Arial" w:cs="Arial"/>
          <w:sz w:val="24"/>
          <w:szCs w:val="24"/>
        </w:rPr>
        <w:t xml:space="preserve"> De conformidad con lo que disponen los artículos 115 fracción IV inciso c) de la Constitución Política de los Estados Unidos Mexicanos y, 89 de la Constitución Política del Estado Libre y Soberano de Jalisco, es facultad del Congreso del Estado el aprobar las Leyes de Ingresos Municipales; …</w:t>
      </w:r>
    </w:p>
    <w:p w:rsidR="00E63DEF" w:rsidRPr="00E871B0" w:rsidRDefault="00E63DEF" w:rsidP="00E63DEF">
      <w:pPr>
        <w:rPr>
          <w:rFonts w:ascii="Arial" w:hAnsi="Arial" w:cs="Arial"/>
          <w:b/>
          <w:i/>
          <w:sz w:val="24"/>
          <w:szCs w:val="24"/>
        </w:rPr>
      </w:pPr>
    </w:p>
    <w:p w:rsidR="00E63DEF" w:rsidRPr="00E871B0" w:rsidRDefault="00E63DEF" w:rsidP="00E63DEF">
      <w:pPr>
        <w:ind w:firstLine="578"/>
        <w:rPr>
          <w:rFonts w:ascii="Arial" w:hAnsi="Arial" w:cs="Arial"/>
          <w:b/>
          <w:bCs/>
          <w:i/>
          <w:sz w:val="24"/>
          <w:szCs w:val="24"/>
        </w:rPr>
      </w:pPr>
      <w:r w:rsidRPr="00E871B0">
        <w:rPr>
          <w:rFonts w:ascii="Arial" w:hAnsi="Arial" w:cs="Arial"/>
          <w:b/>
          <w:i/>
          <w:sz w:val="24"/>
          <w:szCs w:val="24"/>
        </w:rPr>
        <w:t>Constitución Política de los Estados Unidos Mexicanos</w:t>
      </w:r>
    </w:p>
    <w:p w:rsidR="00E63DEF" w:rsidRPr="00E871B0" w:rsidRDefault="00E63DEF" w:rsidP="00E63DEF">
      <w:pPr>
        <w:rPr>
          <w:rFonts w:ascii="Arial" w:hAnsi="Arial" w:cs="Arial"/>
          <w:b/>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b/>
          <w:i/>
          <w:sz w:val="24"/>
          <w:szCs w:val="24"/>
        </w:rPr>
        <w:t>Artículo 115.</w:t>
      </w:r>
      <w:r w:rsidRPr="00E871B0">
        <w:rPr>
          <w:rFonts w:ascii="Arial" w:hAnsi="Arial" w:cs="Arial"/>
          <w:i/>
          <w:sz w:val="24"/>
          <w:szCs w:val="24"/>
        </w:rPr>
        <w:t xml:space="preserve"> Los Estados adoptarán, para su régimen interior, la forma de gobierno republicano, representativo, popular, teniendo como base de su división territorial y de su organización política y administrativa el Municipio Libre, conforme a las bases siguientes:</w:t>
      </w:r>
    </w:p>
    <w:p w:rsidR="00E63DEF" w:rsidRPr="00E871B0" w:rsidRDefault="00E63DEF" w:rsidP="00E63DEF">
      <w:pPr>
        <w:ind w:left="578" w:firstLine="289"/>
        <w:rPr>
          <w:rFonts w:ascii="Arial" w:hAnsi="Arial" w:cs="Arial"/>
          <w:b/>
          <w:bCs/>
          <w:i/>
          <w:sz w:val="24"/>
          <w:szCs w:val="24"/>
        </w:rPr>
      </w:pPr>
      <w:r w:rsidRPr="00E871B0">
        <w:rPr>
          <w:rFonts w:ascii="Arial" w:hAnsi="Arial" w:cs="Arial"/>
          <w:b/>
          <w:bCs/>
          <w:i/>
          <w:sz w:val="24"/>
          <w:szCs w:val="24"/>
        </w:rPr>
        <w:t>…</w:t>
      </w:r>
    </w:p>
    <w:p w:rsidR="00E63DEF" w:rsidRPr="00E871B0" w:rsidRDefault="00E63DEF" w:rsidP="00E63DEF">
      <w:pPr>
        <w:ind w:left="578" w:firstLine="289"/>
        <w:rPr>
          <w:rFonts w:ascii="Arial" w:hAnsi="Arial" w:cs="Arial"/>
          <w:b/>
          <w:bCs/>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bCs/>
          <w:i/>
          <w:sz w:val="24"/>
          <w:szCs w:val="24"/>
        </w:rPr>
        <w:t xml:space="preserve">IV. </w:t>
      </w:r>
      <w:r w:rsidRPr="00E871B0">
        <w:rPr>
          <w:rFonts w:ascii="Arial" w:hAnsi="Arial" w:cs="Arial"/>
          <w:i/>
          <w:sz w:val="24"/>
          <w:szCs w:val="24"/>
        </w:rPr>
        <w:t>Los municipios administrarán libremente su hacienda, la cual se formará de los rendimientos de los bienes que les pertenezcan, así como de las contribuciones y otros ingresos que las legislaturas establezcan a su favor, y en todo caso:</w:t>
      </w:r>
    </w:p>
    <w:p w:rsidR="00E63DEF" w:rsidRPr="00E871B0" w:rsidRDefault="00E63DEF" w:rsidP="00E63DEF">
      <w:pPr>
        <w:ind w:left="578"/>
        <w:rPr>
          <w:rFonts w:ascii="Arial" w:hAnsi="Arial" w:cs="Arial"/>
          <w:i/>
          <w:sz w:val="24"/>
          <w:szCs w:val="24"/>
        </w:rPr>
      </w:pPr>
    </w:p>
    <w:p w:rsidR="00E63DEF" w:rsidRPr="00E871B0" w:rsidRDefault="00E63DEF" w:rsidP="00E63DEF">
      <w:pPr>
        <w:ind w:left="578" w:firstLine="289"/>
        <w:rPr>
          <w:rFonts w:ascii="Arial" w:hAnsi="Arial" w:cs="Arial"/>
          <w:bCs/>
          <w:i/>
          <w:sz w:val="24"/>
          <w:szCs w:val="24"/>
        </w:rPr>
      </w:pPr>
      <w:r w:rsidRPr="00E871B0">
        <w:rPr>
          <w:rFonts w:ascii="Arial" w:hAnsi="Arial" w:cs="Arial"/>
          <w:bCs/>
          <w:i/>
          <w:sz w:val="24"/>
          <w:szCs w:val="24"/>
        </w:rPr>
        <w:lastRenderedPageBreak/>
        <w:t>…</w:t>
      </w:r>
    </w:p>
    <w:p w:rsidR="00E63DEF" w:rsidRPr="00E871B0" w:rsidRDefault="00E63DEF" w:rsidP="00E63DEF">
      <w:pPr>
        <w:ind w:left="578"/>
        <w:rPr>
          <w:rFonts w:ascii="Arial" w:hAnsi="Arial" w:cs="Arial"/>
          <w:i/>
          <w:sz w:val="24"/>
          <w:szCs w:val="24"/>
        </w:rPr>
      </w:pPr>
      <w:r w:rsidRPr="00E871B0">
        <w:rPr>
          <w:rFonts w:ascii="Arial" w:hAnsi="Arial" w:cs="Arial"/>
          <w:bCs/>
          <w:i/>
          <w:sz w:val="24"/>
          <w:szCs w:val="24"/>
        </w:rPr>
        <w:t xml:space="preserve">c) </w:t>
      </w:r>
      <w:r w:rsidRPr="00E871B0">
        <w:rPr>
          <w:rFonts w:ascii="Arial" w:hAnsi="Arial" w:cs="Arial"/>
          <w:i/>
          <w:sz w:val="24"/>
          <w:szCs w:val="24"/>
        </w:rPr>
        <w:t>Los ingresos derivados de la prestación de servicios públicos a su cargo.</w:t>
      </w:r>
    </w:p>
    <w:p w:rsidR="00E63DEF" w:rsidRPr="00E871B0" w:rsidRDefault="00E63DEF" w:rsidP="00E63DEF">
      <w:pPr>
        <w:ind w:left="578" w:firstLine="289"/>
        <w:rPr>
          <w:rFonts w:ascii="Arial" w:hAnsi="Arial" w:cs="Arial"/>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i/>
          <w:sz w:val="24"/>
          <w:szCs w:val="24"/>
        </w:rPr>
        <w:t>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E63DEF" w:rsidRPr="00E871B0" w:rsidRDefault="00E63DEF" w:rsidP="00E63DEF">
      <w:pPr>
        <w:ind w:left="578"/>
        <w:rPr>
          <w:rFonts w:ascii="Arial" w:hAnsi="Arial" w:cs="Arial"/>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i/>
          <w:sz w:val="24"/>
          <w:szCs w:val="24"/>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rsidR="00E63DEF" w:rsidRPr="00E871B0" w:rsidRDefault="00E63DEF" w:rsidP="00E63DEF">
      <w:pPr>
        <w:ind w:left="578"/>
        <w:rPr>
          <w:rFonts w:ascii="Arial" w:hAnsi="Arial" w:cs="Arial"/>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i/>
          <w:sz w:val="24"/>
          <w:szCs w:val="24"/>
        </w:rPr>
        <w:t>Las legislaturas de los Estados aprobarán las leyes de ingresos de los municipios, revisarán y fiscalizarán sus cuentas públicas. Los presupuestos de egresos serán aprobados por los ayuntamientos con base en sus ingresos disponibles.</w:t>
      </w:r>
    </w:p>
    <w:p w:rsidR="00E63DEF" w:rsidRPr="00E871B0" w:rsidRDefault="00E63DEF" w:rsidP="00E63DEF">
      <w:pPr>
        <w:ind w:left="578"/>
        <w:rPr>
          <w:rFonts w:ascii="Arial" w:hAnsi="Arial" w:cs="Arial"/>
          <w:i/>
          <w:sz w:val="24"/>
          <w:szCs w:val="24"/>
        </w:rPr>
      </w:pPr>
    </w:p>
    <w:p w:rsidR="00E63DEF" w:rsidRPr="00E871B0" w:rsidRDefault="00E63DEF" w:rsidP="00E63DEF">
      <w:pPr>
        <w:ind w:left="578"/>
        <w:rPr>
          <w:rFonts w:ascii="Arial" w:hAnsi="Arial" w:cs="Arial"/>
          <w:i/>
          <w:sz w:val="24"/>
          <w:szCs w:val="24"/>
        </w:rPr>
      </w:pPr>
      <w:r w:rsidRPr="00E871B0">
        <w:rPr>
          <w:rFonts w:ascii="Arial" w:hAnsi="Arial" w:cs="Arial"/>
          <w:i/>
          <w:sz w:val="24"/>
          <w:szCs w:val="24"/>
        </w:rPr>
        <w:t>Los recursos que integran la hacienda municipal serán ejercidos en forma directa por los ayuntamientos, o bien, por quien ellos autoricen, conforme a la ley;</w:t>
      </w:r>
    </w:p>
    <w:p w:rsidR="00E63DEF" w:rsidRPr="00E871B0" w:rsidRDefault="00E63DEF" w:rsidP="00E63DEF">
      <w:pPr>
        <w:ind w:left="578"/>
        <w:rPr>
          <w:rFonts w:ascii="Arial" w:hAnsi="Arial" w:cs="Arial"/>
          <w:i/>
          <w:sz w:val="24"/>
          <w:szCs w:val="24"/>
        </w:rPr>
      </w:pPr>
    </w:p>
    <w:p w:rsidR="00E63DEF" w:rsidRPr="00E871B0" w:rsidRDefault="00E63DEF" w:rsidP="00E63DEF">
      <w:pPr>
        <w:ind w:left="578"/>
        <w:rPr>
          <w:rFonts w:ascii="Arial" w:hAnsi="Arial" w:cs="Arial"/>
          <w:b/>
          <w:i/>
          <w:sz w:val="24"/>
          <w:szCs w:val="24"/>
        </w:rPr>
      </w:pPr>
      <w:r w:rsidRPr="00E871B0">
        <w:rPr>
          <w:rFonts w:ascii="Arial" w:hAnsi="Arial" w:cs="Arial"/>
          <w:b/>
          <w:i/>
          <w:sz w:val="24"/>
          <w:szCs w:val="24"/>
        </w:rPr>
        <w:t>Constitución Política del Estado de Jalisco</w:t>
      </w:r>
    </w:p>
    <w:p w:rsidR="00E63DEF" w:rsidRPr="00E871B0" w:rsidRDefault="00E63DEF" w:rsidP="00E63DEF">
      <w:pPr>
        <w:ind w:left="57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b/>
          <w:i/>
          <w:sz w:val="24"/>
          <w:szCs w:val="24"/>
        </w:rPr>
        <w:t>Artículo 88.-</w:t>
      </w:r>
      <w:r w:rsidRPr="00E871B0">
        <w:rPr>
          <w:rFonts w:ascii="Arial" w:hAnsi="Arial" w:cs="Arial"/>
          <w:i/>
          <w:sz w:val="24"/>
          <w:szCs w:val="24"/>
        </w:rPr>
        <w:t xml:space="preserve"> Los municipios administrarán libremente su hacienda, la cual se formará de los rendimientos de los bienes que les pertenezcan, así como de las contribuciones y otros ingresos que el Congreso establezca a su favor y, en todo caso, con:</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I. Las contribuciones sobre la propiedad inmobiliaria, incluyendo tasas adicionales que establezca el Congreso, de su fraccionamiento, división, consolidación, translación y mejora.</w:t>
      </w:r>
    </w:p>
    <w:p w:rsidR="00E63DEF" w:rsidRPr="00E871B0" w:rsidRDefault="00E63DEF" w:rsidP="00E63DEF">
      <w:pPr>
        <w:ind w:left="708"/>
        <w:rPr>
          <w:rFonts w:ascii="Arial" w:hAnsi="Arial" w:cs="Arial"/>
          <w:i/>
          <w:sz w:val="24"/>
          <w:szCs w:val="24"/>
        </w:rPr>
      </w:pPr>
      <w:r w:rsidRPr="00E871B0">
        <w:rPr>
          <w:rFonts w:ascii="Arial" w:hAnsi="Arial" w:cs="Arial"/>
          <w:i/>
          <w:sz w:val="24"/>
          <w:szCs w:val="24"/>
        </w:rPr>
        <w:t>…</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 xml:space="preserve">III. Los ingresos derivados de la prestación de servicios públicos a su cargo. </w:t>
      </w:r>
    </w:p>
    <w:p w:rsidR="00E63DEF" w:rsidRPr="00E871B0" w:rsidRDefault="00E63DEF" w:rsidP="00E63DEF">
      <w:pPr>
        <w:ind w:left="708"/>
        <w:rPr>
          <w:rFonts w:ascii="Arial" w:hAnsi="Arial" w:cs="Arial"/>
          <w:i/>
          <w:sz w:val="24"/>
          <w:szCs w:val="24"/>
        </w:rPr>
      </w:pPr>
      <w:r w:rsidRPr="00E871B0">
        <w:rPr>
          <w:rFonts w:ascii="Arial" w:hAnsi="Arial" w:cs="Arial"/>
          <w:i/>
          <w:sz w:val="24"/>
          <w:szCs w:val="24"/>
        </w:rPr>
        <w:t>…</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b/>
          <w:i/>
          <w:sz w:val="24"/>
          <w:szCs w:val="24"/>
        </w:rPr>
        <w:t>Artículo 89.-</w:t>
      </w:r>
      <w:r w:rsidRPr="00E871B0">
        <w:rPr>
          <w:rFonts w:ascii="Arial" w:hAnsi="Arial" w:cs="Arial"/>
          <w:i/>
          <w:sz w:val="24"/>
          <w:szCs w:val="24"/>
        </w:rPr>
        <w:t xml:space="preserve"> El Congreso del Estado aprobará las leyes de ingresos de los municipios...</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 xml:space="preserve">Las leyes estatales no establecerán exenciones o subsidios a favor de persona o institución alguna respecto de dichas contribuciones. Sólo </w:t>
      </w:r>
      <w:r w:rsidRPr="00E871B0">
        <w:rPr>
          <w:rFonts w:ascii="Arial" w:hAnsi="Arial" w:cs="Arial"/>
          <w:i/>
          <w:sz w:val="24"/>
          <w:szCs w:val="24"/>
        </w:rPr>
        <w:lastRenderedPageBreak/>
        <w:t>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Los ayuntamientos, en el ámbito de su competencia, propondrán al Congreso del Estado, conforme al procedimiento que se establezca en la ley de la materia, las cuotas y tarifas aplicables a impuestos, derechos, contribuciones de mejoras y las tablas de valores unitarios de suelo y construcciones que sirvan de base para el cobro de las contribuciones sobre la propiedad inmobiliaria.</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Los recursos que integran la hacienda municipal serán ejercidos en forma directa  por los ayuntamientos, o bien, por quien ellos autoricen conforme a la ley.</w:t>
      </w:r>
    </w:p>
    <w:p w:rsidR="00E63DEF" w:rsidRPr="00E871B0" w:rsidRDefault="00E63DEF" w:rsidP="00E63DEF">
      <w:pPr>
        <w:ind w:left="289"/>
        <w:rPr>
          <w:rFonts w:ascii="Arial" w:hAnsi="Arial" w:cs="Arial"/>
          <w:sz w:val="24"/>
          <w:szCs w:val="24"/>
        </w:rPr>
      </w:pPr>
    </w:p>
    <w:p w:rsidR="00E63DEF" w:rsidRPr="00E871B0" w:rsidRDefault="00E63DEF" w:rsidP="00E63DEF">
      <w:pPr>
        <w:ind w:left="289"/>
        <w:rPr>
          <w:rFonts w:ascii="Arial" w:hAnsi="Arial" w:cs="Arial"/>
          <w:sz w:val="24"/>
          <w:szCs w:val="24"/>
        </w:rPr>
      </w:pPr>
    </w:p>
    <w:p w:rsidR="00E63DEF" w:rsidRPr="00E871B0" w:rsidRDefault="00E63DEF" w:rsidP="00E63DEF">
      <w:pPr>
        <w:rPr>
          <w:rFonts w:ascii="Arial" w:hAnsi="Arial" w:cs="Arial"/>
          <w:sz w:val="24"/>
          <w:szCs w:val="24"/>
        </w:rPr>
      </w:pPr>
      <w:r w:rsidRPr="00E871B0">
        <w:rPr>
          <w:rFonts w:ascii="Arial" w:hAnsi="Arial" w:cs="Arial"/>
          <w:b/>
          <w:sz w:val="24"/>
          <w:szCs w:val="24"/>
        </w:rPr>
        <w:t>SEGUNDO</w:t>
      </w:r>
      <w:r w:rsidRPr="00E871B0">
        <w:rPr>
          <w:rFonts w:ascii="Arial" w:hAnsi="Arial" w:cs="Arial"/>
          <w:sz w:val="24"/>
          <w:szCs w:val="24"/>
        </w:rPr>
        <w:t xml:space="preserve">.- El presente proyecto de Ley de Ingresos del Municipio de </w:t>
      </w:r>
      <w:r w:rsidRPr="00E871B0">
        <w:rPr>
          <w:rFonts w:ascii="Arial" w:hAnsi="Arial" w:cs="Arial"/>
          <w:bCs/>
          <w:sz w:val="24"/>
          <w:szCs w:val="24"/>
        </w:rPr>
        <w:t>Atengo</w:t>
      </w:r>
      <w:r w:rsidRPr="00E871B0">
        <w:rPr>
          <w:rFonts w:ascii="Arial" w:hAnsi="Arial" w:cs="Arial"/>
          <w:sz w:val="24"/>
          <w:szCs w:val="24"/>
        </w:rPr>
        <w:t xml:space="preserve"> para </w:t>
      </w:r>
      <w:r>
        <w:rPr>
          <w:rFonts w:ascii="Arial" w:hAnsi="Arial" w:cs="Arial"/>
          <w:sz w:val="24"/>
          <w:szCs w:val="24"/>
        </w:rPr>
        <w:t>el Ejercicio Fiscal del año 2018</w:t>
      </w:r>
      <w:r w:rsidRPr="00E871B0">
        <w:rPr>
          <w:rFonts w:ascii="Arial" w:hAnsi="Arial" w:cs="Arial"/>
          <w:sz w:val="24"/>
          <w:szCs w:val="24"/>
        </w:rPr>
        <w:t xml:space="preserve">, se basó en las siguientes consideraciones: </w:t>
      </w:r>
    </w:p>
    <w:p w:rsidR="00E63DEF" w:rsidRPr="00E871B0" w:rsidRDefault="00E63DEF" w:rsidP="00E63DEF">
      <w:pPr>
        <w:rPr>
          <w:rFonts w:ascii="Arial" w:hAnsi="Arial" w:cs="Arial"/>
          <w:sz w:val="24"/>
          <w:szCs w:val="24"/>
          <w:lang w:val="es-ES_tradnl"/>
        </w:rPr>
      </w:pPr>
    </w:p>
    <w:p w:rsidR="00E63DEF" w:rsidRPr="00512507" w:rsidRDefault="00E63DEF" w:rsidP="002D27B3">
      <w:pPr>
        <w:pStyle w:val="Prrafodelista"/>
        <w:numPr>
          <w:ilvl w:val="0"/>
          <w:numId w:val="8"/>
        </w:numPr>
        <w:rPr>
          <w:rFonts w:ascii="Arial" w:hAnsi="Arial" w:cs="Arial"/>
          <w:b/>
          <w:bCs/>
          <w:sz w:val="24"/>
          <w:szCs w:val="24"/>
          <w:highlight w:val="green"/>
          <w:u w:val="single"/>
        </w:rPr>
      </w:pPr>
      <w:r w:rsidRPr="00512507">
        <w:rPr>
          <w:rFonts w:ascii="Arial" w:hAnsi="Arial" w:cs="Arial"/>
          <w:b/>
          <w:bCs/>
          <w:sz w:val="24"/>
          <w:szCs w:val="24"/>
          <w:highlight w:val="green"/>
          <w:u w:val="single"/>
        </w:rPr>
        <w:t>Actualización de tarifas</w:t>
      </w:r>
    </w:p>
    <w:p w:rsidR="00E63DEF" w:rsidRPr="00E871B0" w:rsidRDefault="00E63DEF" w:rsidP="00E63DEF">
      <w:pPr>
        <w:rPr>
          <w:rFonts w:ascii="Arial" w:hAnsi="Arial" w:cs="Arial"/>
          <w:b/>
          <w:bCs/>
          <w:sz w:val="24"/>
          <w:szCs w:val="24"/>
        </w:rPr>
      </w:pPr>
    </w:p>
    <w:p w:rsidR="00BB17A0" w:rsidRDefault="00225A50" w:rsidP="00BB17A0">
      <w:pPr>
        <w:rPr>
          <w:rFonts w:ascii="Arial" w:hAnsi="Arial" w:cs="Arial"/>
          <w:sz w:val="24"/>
          <w:szCs w:val="24"/>
        </w:rPr>
      </w:pPr>
      <w:proofErr w:type="spellStart"/>
      <w:proofErr w:type="gramStart"/>
      <w:r>
        <w:rPr>
          <w:rFonts w:ascii="Arial" w:hAnsi="Arial" w:cs="Arial"/>
          <w:sz w:val="24"/>
          <w:szCs w:val="24"/>
          <w:highlight w:val="green"/>
        </w:rPr>
        <w:t>x</w:t>
      </w:r>
      <w:r w:rsidR="00E63DEF" w:rsidRPr="001A2633">
        <w:rPr>
          <w:rFonts w:ascii="Arial" w:hAnsi="Arial" w:cs="Arial"/>
          <w:sz w:val="24"/>
          <w:szCs w:val="24"/>
          <w:highlight w:val="green"/>
        </w:rPr>
        <w:t>Para</w:t>
      </w:r>
      <w:proofErr w:type="spellEnd"/>
      <w:proofErr w:type="gramEnd"/>
      <w:r w:rsidR="00E63DEF" w:rsidRPr="001A2633">
        <w:rPr>
          <w:rFonts w:ascii="Arial" w:hAnsi="Arial" w:cs="Arial"/>
          <w:sz w:val="24"/>
          <w:szCs w:val="24"/>
          <w:highlight w:val="green"/>
        </w:rPr>
        <w:t xml:space="preserve"> el ejercicio fiscal 2018, se propone no incrementar las </w:t>
      </w:r>
      <w:r w:rsidR="00766F41" w:rsidRPr="001A2633">
        <w:rPr>
          <w:rFonts w:ascii="Arial" w:hAnsi="Arial" w:cs="Arial"/>
          <w:sz w:val="24"/>
          <w:szCs w:val="24"/>
          <w:highlight w:val="green"/>
        </w:rPr>
        <w:t>cuotas y tarifas, con la finalidad de apoyar a las economías de las familias del municipio. No obstante lo anterior, se realiz</w:t>
      </w:r>
      <w:r w:rsidR="005470F8" w:rsidRPr="001A2633">
        <w:rPr>
          <w:rFonts w:ascii="Arial" w:hAnsi="Arial" w:cs="Arial"/>
          <w:sz w:val="24"/>
          <w:szCs w:val="24"/>
          <w:highlight w:val="green"/>
        </w:rPr>
        <w:t>ó el siguiente análisis económico, en cumplimiento al marco normativo aplicable.</w:t>
      </w:r>
      <w:r w:rsidR="005470F8">
        <w:rPr>
          <w:rFonts w:ascii="Arial" w:hAnsi="Arial" w:cs="Arial"/>
          <w:sz w:val="24"/>
          <w:szCs w:val="24"/>
        </w:rPr>
        <w:t xml:space="preserve"> </w:t>
      </w:r>
    </w:p>
    <w:p w:rsidR="00BB17A0" w:rsidRDefault="00BB17A0" w:rsidP="00BB17A0">
      <w:pPr>
        <w:rPr>
          <w:rFonts w:ascii="Arial" w:hAnsi="Arial" w:cs="Arial"/>
          <w:sz w:val="24"/>
          <w:szCs w:val="24"/>
        </w:rPr>
      </w:pPr>
    </w:p>
    <w:p w:rsidR="00BB17A0" w:rsidRPr="00DE6326" w:rsidRDefault="00BB17A0" w:rsidP="00BB17A0">
      <w:pPr>
        <w:pStyle w:val="Texto"/>
        <w:pBdr>
          <w:bottom w:val="single" w:sz="6" w:space="1" w:color="auto"/>
        </w:pBdr>
        <w:spacing w:after="74" w:line="240" w:lineRule="auto"/>
        <w:ind w:firstLine="0"/>
        <w:rPr>
          <w:b/>
          <w:sz w:val="24"/>
        </w:rPr>
      </w:pPr>
      <w:r w:rsidRPr="00DE6326">
        <w:rPr>
          <w:b/>
          <w:sz w:val="24"/>
        </w:rPr>
        <w:t>ASPECTOS ECONOMICOS 2018, APLICABLES AL MUNICIPIO DE ATENGO, JALISCO A EFECTOS DE LA INICIATIVA DE LEY DE INGRESOS 2018.</w:t>
      </w:r>
    </w:p>
    <w:p w:rsidR="00BB17A0" w:rsidRPr="00DE6326" w:rsidRDefault="00BB17A0" w:rsidP="00BB17A0">
      <w:pPr>
        <w:pStyle w:val="Texto"/>
        <w:spacing w:after="74" w:line="240" w:lineRule="auto"/>
        <w:ind w:firstLine="0"/>
        <w:rPr>
          <w:b/>
          <w:sz w:val="24"/>
        </w:rPr>
      </w:pPr>
    </w:p>
    <w:p w:rsidR="00BB17A0" w:rsidRPr="00DE6326" w:rsidRDefault="00BB17A0" w:rsidP="00BB17A0">
      <w:pPr>
        <w:pStyle w:val="Texto"/>
        <w:spacing w:after="74" w:line="240" w:lineRule="auto"/>
        <w:ind w:firstLine="0"/>
        <w:rPr>
          <w:b/>
          <w:sz w:val="24"/>
        </w:rPr>
      </w:pPr>
      <w:r w:rsidRPr="00DE6326">
        <w:rPr>
          <w:b/>
          <w:sz w:val="24"/>
        </w:rPr>
        <w:t>Situación económica</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 xml:space="preserve">En atención a lo dispuesto por el artículo 42, fracción I, de la Ley Federal de Presupuesto y Responsabilidad Hacendaria (LFPRH), la Secretaría de Hacienda y Crédito Público (SHCP), remitió al Congreso de la Unión, los </w:t>
      </w:r>
      <w:proofErr w:type="spellStart"/>
      <w:r>
        <w:rPr>
          <w:sz w:val="24"/>
        </w:rPr>
        <w:t>precriterios</w:t>
      </w:r>
      <w:proofErr w:type="spellEnd"/>
      <w:r>
        <w:rPr>
          <w:sz w:val="24"/>
        </w:rPr>
        <w:t xml:space="preserve"> generales de política económica 2018</w:t>
      </w:r>
      <w:r>
        <w:rPr>
          <w:rStyle w:val="Refdenotaalpie"/>
          <w:sz w:val="24"/>
        </w:rPr>
        <w:footnoteReference w:id="1"/>
      </w:r>
      <w:r>
        <w:rPr>
          <w:sz w:val="24"/>
        </w:rPr>
        <w:t xml:space="preserve"> </w:t>
      </w:r>
      <w:r w:rsidRPr="008D7D2E">
        <w:rPr>
          <w:i/>
        </w:rPr>
        <w:t>(Es importante señalar que no se pueden tomar en cuenta los Criterios Generales de Política Económica 2018, ya que estos se presentan hasta el día 8 de septiembre de 2017</w:t>
      </w:r>
      <w:r w:rsidRPr="008D7D2E">
        <w:rPr>
          <w:rStyle w:val="Refdenotaalpie"/>
          <w:i/>
        </w:rPr>
        <w:footnoteReference w:id="2"/>
      </w:r>
      <w:r w:rsidRPr="008D7D2E">
        <w:rPr>
          <w:i/>
        </w:rPr>
        <w:t>, por tanto los documento vigentes más recientes a utilizar son dichos Pre Criterios)</w:t>
      </w:r>
      <w:r>
        <w:rPr>
          <w:sz w:val="24"/>
        </w:rPr>
        <w:t xml:space="preserve">, los cuales presentan los aspectos relevantes sobre el marco macroeconómico y de finanzas públicas, </w:t>
      </w:r>
      <w:r>
        <w:rPr>
          <w:sz w:val="24"/>
        </w:rPr>
        <w:lastRenderedPageBreak/>
        <w:t>en lo que se refiere a su evolución y proyecciones para el cierre 2017 y perspectivas 2018. Derivado de los pre-criterios antes citado y en apego a lo dispuesto en el artículo 18 de la Ley de Disciplina Financiera de las Entidades Federativas, el H. Ayuntamiento de Atengo, Jalisco, tiene a bien emitir las siguientes consideraciones económicas: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 xml:space="preserve">Del contenido de lo señalado por la SHCP, se puede observar una </w:t>
      </w:r>
      <w:r w:rsidRPr="001D7057">
        <w:rPr>
          <w:sz w:val="24"/>
        </w:rPr>
        <w:t>economía global</w:t>
      </w:r>
      <w:r>
        <w:rPr>
          <w:sz w:val="24"/>
        </w:rPr>
        <w:t xml:space="preserve"> que</w:t>
      </w:r>
      <w:r w:rsidRPr="001D7057">
        <w:rPr>
          <w:sz w:val="24"/>
        </w:rPr>
        <w:t xml:space="preserve"> ha experimentado un episodio prolongado de crecimiento</w:t>
      </w:r>
      <w:r>
        <w:rPr>
          <w:sz w:val="24"/>
        </w:rPr>
        <w:t xml:space="preserve"> </w:t>
      </w:r>
      <w:r w:rsidRPr="001D7057">
        <w:rPr>
          <w:sz w:val="24"/>
        </w:rPr>
        <w:t>moderado, volatilidad en los mercados financieros e incertidumbre</w:t>
      </w:r>
      <w:r>
        <w:rPr>
          <w:sz w:val="24"/>
        </w:rPr>
        <w:t xml:space="preserve"> </w:t>
      </w:r>
      <w:r w:rsidRPr="001D7057">
        <w:rPr>
          <w:sz w:val="24"/>
        </w:rPr>
        <w:t>geopolítica. Sin embargo, en los últimos meses comienzan a observarse</w:t>
      </w:r>
      <w:r>
        <w:rPr>
          <w:sz w:val="24"/>
        </w:rPr>
        <w:t xml:space="preserve"> </w:t>
      </w:r>
      <w:r w:rsidRPr="001D7057">
        <w:rPr>
          <w:sz w:val="24"/>
        </w:rPr>
        <w:t>señales de un crecimiento sincronizado a nivel mundial que, junto con el</w:t>
      </w:r>
      <w:r>
        <w:rPr>
          <w:sz w:val="24"/>
        </w:rPr>
        <w:t xml:space="preserve"> </w:t>
      </w:r>
      <w:r w:rsidRPr="001D7057">
        <w:rPr>
          <w:sz w:val="24"/>
        </w:rPr>
        <w:t>desempeño positivo de las finanzas públicas y el mercado interno durante</w:t>
      </w:r>
      <w:r>
        <w:rPr>
          <w:sz w:val="24"/>
        </w:rPr>
        <w:t xml:space="preserve"> </w:t>
      </w:r>
      <w:r w:rsidRPr="001D7057">
        <w:rPr>
          <w:sz w:val="24"/>
        </w:rPr>
        <w:t>2016, dan soporte al cumplimiento puntual de las metas fiscales en 2017 y</w:t>
      </w:r>
      <w:r>
        <w:rPr>
          <w:sz w:val="24"/>
        </w:rPr>
        <w:t xml:space="preserve"> </w:t>
      </w:r>
      <w:r w:rsidRPr="001D7057">
        <w:rPr>
          <w:sz w:val="24"/>
        </w:rPr>
        <w:t>2018 sin la necesidad de realizar ajustes drásticos al gasto.</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El PIB mexicano e</w:t>
      </w:r>
      <w:r w:rsidRPr="00395C7C">
        <w:rPr>
          <w:sz w:val="24"/>
        </w:rPr>
        <w:t>n 2016</w:t>
      </w:r>
      <w:r>
        <w:rPr>
          <w:sz w:val="24"/>
        </w:rPr>
        <w:t xml:space="preserve"> </w:t>
      </w:r>
      <w:r w:rsidRPr="00395C7C">
        <w:rPr>
          <w:sz w:val="24"/>
        </w:rPr>
        <w:t>creció a una tasa real de 2.3 por ciento, cifra mayor a la de las economías de América</w:t>
      </w:r>
      <w:r>
        <w:rPr>
          <w:sz w:val="24"/>
        </w:rPr>
        <w:t xml:space="preserve"> </w:t>
      </w:r>
      <w:r w:rsidRPr="00395C7C">
        <w:rPr>
          <w:sz w:val="24"/>
        </w:rPr>
        <w:t>Latina excluyendo a México (-1.5 por ciento) y donde destacan las principales como</w:t>
      </w:r>
      <w:r>
        <w:rPr>
          <w:sz w:val="24"/>
        </w:rPr>
        <w:t xml:space="preserve"> </w:t>
      </w:r>
      <w:r w:rsidRPr="00395C7C">
        <w:rPr>
          <w:sz w:val="24"/>
        </w:rPr>
        <w:t>Argentina (-2.3 por ciento), Brasil (-3.6 por ciento), Chile (1.6 por ciento) y Colombia</w:t>
      </w:r>
      <w:r>
        <w:rPr>
          <w:sz w:val="24"/>
        </w:rPr>
        <w:t xml:space="preserve"> </w:t>
      </w:r>
      <w:r w:rsidRPr="00395C7C">
        <w:rPr>
          <w:sz w:val="24"/>
        </w:rPr>
        <w:t xml:space="preserve">(2.0 por ciento). La tasa también fue superior a la </w:t>
      </w:r>
      <w:r w:rsidRPr="00B159AE">
        <w:rPr>
          <w:sz w:val="24"/>
        </w:rPr>
        <w:t xml:space="preserve">de las economías avanzadas (1.7 por </w:t>
      </w:r>
      <w:r>
        <w:rPr>
          <w:sz w:val="24"/>
        </w:rPr>
        <w:t>ciento)</w:t>
      </w:r>
      <w:r w:rsidRPr="00395C7C">
        <w:rPr>
          <w:sz w:val="24"/>
        </w:rPr>
        <w:t xml:space="preserve"> y EEUU (1.6 por ciento)</w:t>
      </w:r>
      <w:r>
        <w:rPr>
          <w:sz w:val="24"/>
        </w:rPr>
        <w:t>.</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Sin embargo el desempeño económico de 2016</w:t>
      </w:r>
      <w:r w:rsidRPr="003163C6">
        <w:rPr>
          <w:sz w:val="24"/>
        </w:rPr>
        <w:t>, se vio</w:t>
      </w:r>
      <w:r>
        <w:rPr>
          <w:sz w:val="24"/>
        </w:rPr>
        <w:t xml:space="preserve"> </w:t>
      </w:r>
      <w:r w:rsidRPr="003163C6">
        <w:rPr>
          <w:sz w:val="24"/>
        </w:rPr>
        <w:t xml:space="preserve">afectado por dos </w:t>
      </w:r>
      <w:r>
        <w:rPr>
          <w:sz w:val="24"/>
        </w:rPr>
        <w:t>sucesos:</w:t>
      </w:r>
    </w:p>
    <w:p w:rsidR="00BB17A0" w:rsidRDefault="00BB17A0" w:rsidP="00BB17A0">
      <w:pPr>
        <w:pStyle w:val="Texto"/>
        <w:numPr>
          <w:ilvl w:val="0"/>
          <w:numId w:val="3"/>
        </w:numPr>
        <w:spacing w:after="74" w:line="240" w:lineRule="auto"/>
        <w:rPr>
          <w:sz w:val="24"/>
        </w:rPr>
      </w:pPr>
      <w:r w:rsidRPr="003163C6">
        <w:rPr>
          <w:sz w:val="24"/>
        </w:rPr>
        <w:t>Una caída en la producción de petróleo que proviene principalmente del agotamiento del yacimiento de Cantarell, y que se espera se mitigue y eventualmente revierta con la</w:t>
      </w:r>
      <w:r>
        <w:rPr>
          <w:sz w:val="24"/>
        </w:rPr>
        <w:t xml:space="preserve"> </w:t>
      </w:r>
      <w:r w:rsidRPr="003163C6">
        <w:rPr>
          <w:sz w:val="24"/>
        </w:rPr>
        <w:t>implementación de la Reforma Energética.</w:t>
      </w:r>
    </w:p>
    <w:p w:rsidR="00BB17A0" w:rsidRPr="003163C6" w:rsidRDefault="00BB17A0" w:rsidP="00BB17A0">
      <w:pPr>
        <w:pStyle w:val="Texto"/>
        <w:numPr>
          <w:ilvl w:val="0"/>
          <w:numId w:val="3"/>
        </w:numPr>
        <w:spacing w:after="74" w:line="240" w:lineRule="auto"/>
        <w:rPr>
          <w:sz w:val="24"/>
        </w:rPr>
      </w:pPr>
      <w:r w:rsidRPr="003163C6">
        <w:rPr>
          <w:sz w:val="24"/>
        </w:rPr>
        <w:t>Un desempeño particularmente débil de la producción industrial y las manufacturas en EEUU, que en 2016 tuvieron un crecimiento de –1.0 y 0.1 por ciento, respectivamente.</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9652E1">
        <w:rPr>
          <w:sz w:val="24"/>
        </w:rPr>
        <w:t>La inflación estable observada en 2016,</w:t>
      </w:r>
      <w:r>
        <w:rPr>
          <w:sz w:val="24"/>
        </w:rPr>
        <w:t xml:space="preserve"> según </w:t>
      </w:r>
      <w:proofErr w:type="gramStart"/>
      <w:r>
        <w:rPr>
          <w:sz w:val="24"/>
        </w:rPr>
        <w:t>los pre</w:t>
      </w:r>
      <w:proofErr w:type="gramEnd"/>
      <w:r>
        <w:rPr>
          <w:sz w:val="24"/>
        </w:rPr>
        <w:t xml:space="preserve"> criterios </w:t>
      </w:r>
      <w:r w:rsidRPr="003F38DB">
        <w:rPr>
          <w:i/>
        </w:rPr>
        <w:t>(Abril 2017)</w:t>
      </w:r>
      <w:r>
        <w:rPr>
          <w:sz w:val="24"/>
        </w:rPr>
        <w:t xml:space="preserve"> es</w:t>
      </w:r>
      <w:r w:rsidRPr="009652E1">
        <w:rPr>
          <w:sz w:val="24"/>
        </w:rPr>
        <w:t xml:space="preserve"> igual a 3.36 por ciento y consistente con el</w:t>
      </w:r>
      <w:r>
        <w:rPr>
          <w:sz w:val="24"/>
        </w:rPr>
        <w:t xml:space="preserve"> </w:t>
      </w:r>
      <w:r w:rsidRPr="009652E1">
        <w:rPr>
          <w:sz w:val="24"/>
        </w:rPr>
        <w:t xml:space="preserve">rango objetivo del Banco de México, </w:t>
      </w:r>
      <w:r>
        <w:rPr>
          <w:sz w:val="24"/>
        </w:rPr>
        <w:t>no obstante, a junio del 2017 según datos del propio BANXICO, es:</w:t>
      </w:r>
      <w:r>
        <w:rPr>
          <w:rStyle w:val="Refdenotaalpie"/>
          <w:sz w:val="24"/>
        </w:rPr>
        <w:footnoteReference w:id="3"/>
      </w:r>
    </w:p>
    <w:p w:rsidR="00BB17A0" w:rsidRDefault="00BB17A0" w:rsidP="00BB17A0">
      <w:pPr>
        <w:pStyle w:val="Texto"/>
        <w:spacing w:after="74" w:line="240" w:lineRule="auto"/>
        <w:ind w:firstLine="0"/>
        <w:rPr>
          <w:sz w:val="24"/>
        </w:rPr>
      </w:pPr>
    </w:p>
    <w:tbl>
      <w:tblPr>
        <w:tblW w:w="5000" w:type="pct"/>
        <w:tblCellSpacing w:w="0" w:type="dxa"/>
        <w:tblCellMar>
          <w:left w:w="0" w:type="dxa"/>
          <w:right w:w="0" w:type="dxa"/>
        </w:tblCellMar>
        <w:tblLook w:val="04A0" w:firstRow="1" w:lastRow="0" w:firstColumn="1" w:lastColumn="0" w:noHBand="0" w:noVBand="1"/>
      </w:tblPr>
      <w:tblGrid>
        <w:gridCol w:w="8838"/>
      </w:tblGrid>
      <w:tr w:rsidR="00BB17A0" w:rsidRPr="009652E1" w:rsidTr="00DA389F">
        <w:trPr>
          <w:tblCellSpacing w:w="0" w:type="dxa"/>
        </w:trPr>
        <w:tc>
          <w:tcPr>
            <w:tcW w:w="0" w:type="auto"/>
            <w:vAlign w:val="center"/>
            <w:hideMark/>
          </w:tcPr>
          <w:p w:rsidR="00BB17A0" w:rsidRPr="009652E1" w:rsidRDefault="00BB17A0" w:rsidP="00DA389F">
            <w:pPr>
              <w:rPr>
                <w:rFonts w:ascii="Times New Roman" w:eastAsia="Times New Roman" w:hAnsi="Times New Roman" w:cs="Times New Roman"/>
                <w:sz w:val="24"/>
                <w:szCs w:val="24"/>
                <w:lang w:eastAsia="es-MX"/>
              </w:rPr>
            </w:pPr>
          </w:p>
        </w:tc>
      </w:tr>
      <w:tr w:rsidR="00BB17A0" w:rsidRPr="009652E1" w:rsidTr="00DA389F">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416"/>
              <w:gridCol w:w="1109"/>
              <w:gridCol w:w="1263"/>
              <w:gridCol w:w="1050"/>
            </w:tblGrid>
            <w:tr w:rsidR="00BB17A0" w:rsidRPr="009652E1" w:rsidTr="00DA389F">
              <w:trPr>
                <w:tblCellSpacing w:w="0" w:type="dxa"/>
              </w:trPr>
              <w:tc>
                <w:tcPr>
                  <w:tcW w:w="0" w:type="auto"/>
                  <w:gridSpan w:val="4"/>
                  <w:vAlign w:val="center"/>
                  <w:hideMark/>
                </w:tcPr>
                <w:p w:rsidR="00BB17A0" w:rsidRPr="009652E1" w:rsidRDefault="00BB17A0" w:rsidP="00DA389F">
                  <w:pPr>
                    <w:jc w:val="center"/>
                    <w:rPr>
                      <w:rFonts w:ascii="Arial" w:eastAsia="Times New Roman" w:hAnsi="Arial" w:cs="Arial"/>
                      <w:b/>
                      <w:bCs/>
                      <w:color w:val="000000"/>
                      <w:sz w:val="18"/>
                      <w:szCs w:val="18"/>
                      <w:lang w:eastAsia="es-MX"/>
                    </w:rPr>
                  </w:pPr>
                  <w:r w:rsidRPr="009652E1">
                    <w:rPr>
                      <w:rFonts w:ascii="Arial" w:eastAsia="Times New Roman" w:hAnsi="Arial" w:cs="Arial"/>
                      <w:b/>
                      <w:bCs/>
                      <w:color w:val="000000"/>
                      <w:sz w:val="18"/>
                      <w:szCs w:val="18"/>
                      <w:lang w:eastAsia="es-MX"/>
                    </w:rPr>
                    <w:t>Inflación en:</w:t>
                  </w:r>
                  <w:bookmarkStart w:id="0" w:name="_GoBack"/>
                  <w:bookmarkEnd w:id="0"/>
                </w:p>
              </w:tc>
            </w:tr>
            <w:tr w:rsidR="00BB17A0" w:rsidRPr="009652E1" w:rsidTr="00DA389F">
              <w:trPr>
                <w:tblCellSpacing w:w="0" w:type="dxa"/>
              </w:trPr>
              <w:tc>
                <w:tcPr>
                  <w:tcW w:w="0" w:type="auto"/>
                  <w:gridSpan w:val="4"/>
                  <w:vAlign w:val="center"/>
                  <w:hideMark/>
                </w:tcPr>
                <w:p w:rsidR="00BB17A0" w:rsidRPr="009652E1" w:rsidRDefault="00BB17A0" w:rsidP="00DA389F">
                  <w:pPr>
                    <w:jc w:val="center"/>
                    <w:rPr>
                      <w:rFonts w:ascii="Arial" w:eastAsia="Times New Roman" w:hAnsi="Arial" w:cs="Arial"/>
                      <w:color w:val="426085"/>
                      <w:sz w:val="18"/>
                      <w:szCs w:val="18"/>
                      <w:lang w:eastAsia="es-MX"/>
                    </w:rPr>
                  </w:pPr>
                  <w:r w:rsidRPr="009652E1">
                    <w:rPr>
                      <w:rFonts w:ascii="Arial" w:eastAsia="Times New Roman" w:hAnsi="Arial" w:cs="Arial"/>
                      <w:color w:val="426085"/>
                      <w:sz w:val="18"/>
                      <w:szCs w:val="18"/>
                      <w:lang w:eastAsia="es-MX"/>
                    </w:rPr>
                    <w:t>           </w:t>
                  </w:r>
                  <w:r w:rsidRPr="009652E1">
                    <w:rPr>
                      <w:rFonts w:ascii="Arial" w:eastAsia="Times New Roman" w:hAnsi="Arial" w:cs="Arial"/>
                      <w:color w:val="426085"/>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5pt;height:18pt" o:ole="">
                        <v:imagedata r:id="rId8" o:title=""/>
                      </v:shape>
                      <w:control r:id="rId9" w:name="DefaultOcxName" w:shapeid="_x0000_i1030"/>
                    </w:object>
                  </w:r>
                  <w:r w:rsidRPr="009652E1">
                    <w:rPr>
                      <w:rFonts w:ascii="Arial" w:eastAsia="Times New Roman" w:hAnsi="Arial" w:cs="Arial"/>
                      <w:color w:val="426085"/>
                      <w:sz w:val="18"/>
                      <w:szCs w:val="18"/>
                      <w:lang w:eastAsia="es-MX"/>
                    </w:rPr>
                    <w:t>                                                 </w:t>
                  </w:r>
                  <w:r w:rsidRPr="009652E1">
                    <w:rPr>
                      <w:rFonts w:ascii="Arial" w:eastAsia="Times New Roman" w:hAnsi="Arial" w:cs="Arial"/>
                      <w:color w:val="426085"/>
                      <w:sz w:val="18"/>
                      <w:szCs w:val="18"/>
                    </w:rPr>
                    <w:object w:dxaOrig="1440" w:dyaOrig="1440">
                      <v:shape id="_x0000_i1035" type="#_x0000_t75" style="width:52.5pt;height:18pt" o:ole="">
                        <v:imagedata r:id="rId10" o:title=""/>
                      </v:shape>
                      <w:control r:id="rId11" w:name="DefaultOcxName1" w:shapeid="_x0000_i1035"/>
                    </w:object>
                  </w:r>
                </w:p>
              </w:tc>
            </w:tr>
            <w:tr w:rsidR="00BB17A0" w:rsidRPr="009652E1" w:rsidTr="00DA389F">
              <w:trPr>
                <w:tblCellSpacing w:w="0" w:type="dxa"/>
              </w:trPr>
              <w:tc>
                <w:tcPr>
                  <w:tcW w:w="0" w:type="auto"/>
                  <w:vAlign w:val="center"/>
                  <w:hideMark/>
                </w:tcPr>
                <w:p w:rsidR="00BB17A0" w:rsidRPr="009652E1" w:rsidRDefault="00BB17A0" w:rsidP="00DA389F">
                  <w:pPr>
                    <w:jc w:val="center"/>
                    <w:rPr>
                      <w:rFonts w:ascii="Arial" w:eastAsia="Times New Roman" w:hAnsi="Arial" w:cs="Arial"/>
                      <w:color w:val="426085"/>
                      <w:sz w:val="18"/>
                      <w:szCs w:val="18"/>
                      <w:lang w:eastAsia="es-MX"/>
                    </w:rPr>
                  </w:pPr>
                  <w:r w:rsidRPr="009652E1">
                    <w:rPr>
                      <w:rFonts w:ascii="Arial" w:eastAsia="Times New Roman" w:hAnsi="Arial" w:cs="Arial"/>
                      <w:color w:val="426085"/>
                      <w:sz w:val="18"/>
                      <w:szCs w:val="18"/>
                      <w:lang w:eastAsia="es-MX"/>
                    </w:rPr>
                    <w:t> </w:t>
                  </w:r>
                </w:p>
              </w:tc>
              <w:tc>
                <w:tcPr>
                  <w:tcW w:w="0" w:type="auto"/>
                  <w:gridSpan w:val="3"/>
                  <w:vAlign w:val="center"/>
                  <w:hideMark/>
                </w:tcPr>
                <w:p w:rsidR="00BB17A0" w:rsidRPr="009652E1" w:rsidRDefault="00BB17A0" w:rsidP="00DA389F">
                  <w:pPr>
                    <w:jc w:val="center"/>
                    <w:rPr>
                      <w:rFonts w:ascii="Arial" w:eastAsia="Times New Roman" w:hAnsi="Arial" w:cs="Arial"/>
                      <w:color w:val="426085"/>
                      <w:sz w:val="18"/>
                      <w:szCs w:val="18"/>
                      <w:lang w:eastAsia="es-MX"/>
                    </w:rPr>
                  </w:pPr>
                  <w:r w:rsidRPr="009652E1">
                    <w:rPr>
                      <w:rFonts w:ascii="Arial" w:eastAsia="Times New Roman" w:hAnsi="Arial" w:cs="Arial"/>
                      <w:color w:val="426085"/>
                      <w:sz w:val="18"/>
                      <w:szCs w:val="18"/>
                      <w:lang w:eastAsia="es-MX"/>
                    </w:rPr>
                    <w:t> </w:t>
                  </w:r>
                </w:p>
              </w:tc>
            </w:tr>
            <w:tr w:rsidR="00BB17A0" w:rsidRPr="009652E1" w:rsidTr="00DA389F">
              <w:trPr>
                <w:tblCellSpacing w:w="0" w:type="dxa"/>
              </w:trPr>
              <w:tc>
                <w:tcPr>
                  <w:tcW w:w="0" w:type="auto"/>
                  <w:shd w:val="clear" w:color="auto" w:fill="A7A8AA"/>
                  <w:vAlign w:val="center"/>
                  <w:hideMark/>
                </w:tcPr>
                <w:p w:rsidR="00BB17A0" w:rsidRPr="009652E1" w:rsidRDefault="00BB17A0" w:rsidP="00DA389F">
                  <w:pPr>
                    <w:rPr>
                      <w:rFonts w:ascii="Arial" w:eastAsia="Times New Roman" w:hAnsi="Arial" w:cs="Arial"/>
                      <w:b/>
                      <w:bCs/>
                      <w:color w:val="FFFFFF"/>
                      <w:sz w:val="18"/>
                      <w:szCs w:val="18"/>
                      <w:lang w:eastAsia="es-MX"/>
                    </w:rPr>
                  </w:pPr>
                  <w:r w:rsidRPr="009652E1">
                    <w:rPr>
                      <w:rFonts w:ascii="Arial" w:eastAsia="Times New Roman" w:hAnsi="Arial" w:cs="Arial"/>
                      <w:b/>
                      <w:bCs/>
                      <w:color w:val="FFFFFF"/>
                      <w:sz w:val="18"/>
                      <w:szCs w:val="18"/>
                      <w:lang w:eastAsia="es-MX"/>
                    </w:rPr>
                    <w:t>Inflación medida por:</w:t>
                  </w:r>
                </w:p>
              </w:tc>
              <w:tc>
                <w:tcPr>
                  <w:tcW w:w="1050" w:type="dxa"/>
                  <w:shd w:val="clear" w:color="auto" w:fill="A7A8AA"/>
                  <w:vAlign w:val="center"/>
                  <w:hideMark/>
                </w:tcPr>
                <w:p w:rsidR="00BB17A0" w:rsidRPr="009652E1" w:rsidRDefault="00BB17A0" w:rsidP="00DA389F">
                  <w:pPr>
                    <w:jc w:val="center"/>
                    <w:rPr>
                      <w:rFonts w:ascii="Arial" w:eastAsia="Times New Roman" w:hAnsi="Arial" w:cs="Arial"/>
                      <w:b/>
                      <w:bCs/>
                      <w:color w:val="FFFFFF"/>
                      <w:sz w:val="18"/>
                      <w:szCs w:val="18"/>
                      <w:lang w:eastAsia="es-MX"/>
                    </w:rPr>
                  </w:pPr>
                  <w:r w:rsidRPr="009652E1">
                    <w:rPr>
                      <w:rFonts w:ascii="Arial" w:eastAsia="Times New Roman" w:hAnsi="Arial" w:cs="Arial"/>
                      <w:b/>
                      <w:bCs/>
                      <w:color w:val="FFFFFF"/>
                      <w:sz w:val="18"/>
                      <w:szCs w:val="18"/>
                      <w:lang w:eastAsia="es-MX"/>
                    </w:rPr>
                    <w:t>Mensual</w:t>
                  </w:r>
                </w:p>
              </w:tc>
              <w:tc>
                <w:tcPr>
                  <w:tcW w:w="1050" w:type="dxa"/>
                  <w:shd w:val="clear" w:color="auto" w:fill="A7A8AA"/>
                  <w:vAlign w:val="center"/>
                  <w:hideMark/>
                </w:tcPr>
                <w:p w:rsidR="00BB17A0" w:rsidRPr="009652E1" w:rsidRDefault="00BB17A0" w:rsidP="00DA389F">
                  <w:pPr>
                    <w:jc w:val="center"/>
                    <w:rPr>
                      <w:rFonts w:ascii="Arial" w:eastAsia="Times New Roman" w:hAnsi="Arial" w:cs="Arial"/>
                      <w:b/>
                      <w:bCs/>
                      <w:color w:val="FFFFFF"/>
                      <w:sz w:val="18"/>
                      <w:szCs w:val="18"/>
                      <w:lang w:eastAsia="es-MX"/>
                    </w:rPr>
                  </w:pPr>
                  <w:r w:rsidRPr="009652E1">
                    <w:rPr>
                      <w:rFonts w:ascii="Arial" w:eastAsia="Times New Roman" w:hAnsi="Arial" w:cs="Arial"/>
                      <w:b/>
                      <w:bCs/>
                      <w:color w:val="FFFFFF"/>
                      <w:sz w:val="18"/>
                      <w:szCs w:val="18"/>
                      <w:lang w:eastAsia="es-MX"/>
                    </w:rPr>
                    <w:t>Acumulada</w:t>
                  </w:r>
                  <w:r w:rsidRPr="009652E1">
                    <w:rPr>
                      <w:rFonts w:ascii="Arial" w:eastAsia="Times New Roman" w:hAnsi="Arial" w:cs="Arial"/>
                      <w:b/>
                      <w:bCs/>
                      <w:color w:val="FFFFFF"/>
                      <w:sz w:val="18"/>
                      <w:szCs w:val="18"/>
                      <w:lang w:eastAsia="es-MX"/>
                    </w:rPr>
                    <w:br/>
                    <w:t>en el año</w:t>
                  </w:r>
                </w:p>
              </w:tc>
              <w:tc>
                <w:tcPr>
                  <w:tcW w:w="1050" w:type="dxa"/>
                  <w:shd w:val="clear" w:color="auto" w:fill="A7A8AA"/>
                  <w:vAlign w:val="center"/>
                  <w:hideMark/>
                </w:tcPr>
                <w:p w:rsidR="00BB17A0" w:rsidRPr="009652E1" w:rsidRDefault="00BB17A0" w:rsidP="00DA389F">
                  <w:pPr>
                    <w:jc w:val="center"/>
                    <w:rPr>
                      <w:rFonts w:ascii="Arial" w:eastAsia="Times New Roman" w:hAnsi="Arial" w:cs="Arial"/>
                      <w:b/>
                      <w:bCs/>
                      <w:color w:val="FFFFFF"/>
                      <w:sz w:val="18"/>
                      <w:szCs w:val="18"/>
                      <w:lang w:eastAsia="es-MX"/>
                    </w:rPr>
                  </w:pPr>
                  <w:r w:rsidRPr="009652E1">
                    <w:rPr>
                      <w:rFonts w:ascii="Arial" w:eastAsia="Times New Roman" w:hAnsi="Arial" w:cs="Arial"/>
                      <w:b/>
                      <w:bCs/>
                      <w:color w:val="FFFFFF"/>
                      <w:sz w:val="18"/>
                      <w:szCs w:val="18"/>
                      <w:lang w:eastAsia="es-MX"/>
                    </w:rPr>
                    <w:t>Anual</w:t>
                  </w:r>
                </w:p>
              </w:tc>
            </w:tr>
            <w:tr w:rsidR="00BB17A0" w:rsidRPr="009652E1" w:rsidTr="00DA389F">
              <w:trPr>
                <w:tblCellSpacing w:w="0" w:type="dxa"/>
              </w:trPr>
              <w:tc>
                <w:tcPr>
                  <w:tcW w:w="0" w:type="auto"/>
                  <w:shd w:val="clear" w:color="auto" w:fill="FFFFFF"/>
                  <w:tcMar>
                    <w:top w:w="75" w:type="dxa"/>
                    <w:left w:w="15" w:type="dxa"/>
                    <w:bottom w:w="75" w:type="dxa"/>
                    <w:right w:w="15" w:type="dxa"/>
                  </w:tcMar>
                  <w:vAlign w:val="center"/>
                  <w:hideMark/>
                </w:tcPr>
                <w:p w:rsidR="00BB17A0" w:rsidRPr="009652E1" w:rsidRDefault="00BB17A0" w:rsidP="00DA389F">
                  <w:pPr>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INPC índice general</w:t>
                  </w:r>
                </w:p>
              </w:tc>
              <w:tc>
                <w:tcPr>
                  <w:tcW w:w="0" w:type="auto"/>
                  <w:shd w:val="clear" w:color="auto" w:fill="FFFFFF"/>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0.25</w:t>
                  </w:r>
                </w:p>
              </w:tc>
              <w:tc>
                <w:tcPr>
                  <w:tcW w:w="0" w:type="auto"/>
                  <w:shd w:val="clear" w:color="auto" w:fill="FFFFFF"/>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3.18</w:t>
                  </w:r>
                </w:p>
              </w:tc>
              <w:tc>
                <w:tcPr>
                  <w:tcW w:w="0" w:type="auto"/>
                  <w:shd w:val="clear" w:color="auto" w:fill="FFD966" w:themeFill="accent4" w:themeFillTint="99"/>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3F38DB">
                    <w:rPr>
                      <w:rFonts w:ascii="Arial" w:eastAsia="Times New Roman" w:hAnsi="Arial" w:cs="Arial"/>
                      <w:color w:val="000000"/>
                      <w:sz w:val="18"/>
                      <w:szCs w:val="18"/>
                      <w:lang w:eastAsia="es-MX"/>
                    </w:rPr>
                    <w:t>6.31</w:t>
                  </w:r>
                </w:p>
              </w:tc>
            </w:tr>
            <w:tr w:rsidR="00BB17A0" w:rsidRPr="009652E1" w:rsidTr="00DA389F">
              <w:trPr>
                <w:tblCellSpacing w:w="0" w:type="dxa"/>
              </w:trPr>
              <w:tc>
                <w:tcPr>
                  <w:tcW w:w="0" w:type="auto"/>
                  <w:shd w:val="clear" w:color="auto" w:fill="D9DADB"/>
                  <w:tcMar>
                    <w:top w:w="75" w:type="dxa"/>
                    <w:left w:w="15" w:type="dxa"/>
                    <w:bottom w:w="75" w:type="dxa"/>
                    <w:right w:w="15" w:type="dxa"/>
                  </w:tcMar>
                  <w:vAlign w:val="center"/>
                  <w:hideMark/>
                </w:tcPr>
                <w:p w:rsidR="00BB17A0" w:rsidRPr="009652E1" w:rsidRDefault="00BB17A0" w:rsidP="00DA389F">
                  <w:pPr>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INPC subyacente</w:t>
                  </w:r>
                  <w:r w:rsidRPr="009652E1">
                    <w:rPr>
                      <w:rFonts w:ascii="Arial" w:eastAsia="Times New Roman" w:hAnsi="Arial" w:cs="Arial"/>
                      <w:color w:val="000000"/>
                      <w:sz w:val="18"/>
                      <w:szCs w:val="18"/>
                      <w:vertAlign w:val="superscript"/>
                      <w:lang w:eastAsia="es-MX"/>
                    </w:rPr>
                    <w:t>1/</w:t>
                  </w:r>
                </w:p>
              </w:tc>
              <w:tc>
                <w:tcPr>
                  <w:tcW w:w="0" w:type="auto"/>
                  <w:shd w:val="clear" w:color="auto" w:fill="D9DADB"/>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0.30</w:t>
                  </w:r>
                </w:p>
              </w:tc>
              <w:tc>
                <w:tcPr>
                  <w:tcW w:w="0" w:type="auto"/>
                  <w:shd w:val="clear" w:color="auto" w:fill="D9DADB"/>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2.98</w:t>
                  </w:r>
                </w:p>
              </w:tc>
              <w:tc>
                <w:tcPr>
                  <w:tcW w:w="0" w:type="auto"/>
                  <w:shd w:val="clear" w:color="auto" w:fill="FFD966" w:themeFill="accent4" w:themeFillTint="99"/>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4.83</w:t>
                  </w:r>
                </w:p>
              </w:tc>
            </w:tr>
            <w:tr w:rsidR="00BB17A0" w:rsidRPr="009652E1" w:rsidTr="00DA389F">
              <w:trPr>
                <w:tblCellSpacing w:w="0" w:type="dxa"/>
              </w:trPr>
              <w:tc>
                <w:tcPr>
                  <w:tcW w:w="0" w:type="auto"/>
                  <w:shd w:val="clear" w:color="auto" w:fill="FFFFFF"/>
                  <w:tcMar>
                    <w:top w:w="75" w:type="dxa"/>
                    <w:left w:w="15" w:type="dxa"/>
                    <w:bottom w:w="75" w:type="dxa"/>
                    <w:right w:w="15" w:type="dxa"/>
                  </w:tcMar>
                  <w:vAlign w:val="center"/>
                  <w:hideMark/>
                </w:tcPr>
                <w:p w:rsidR="00BB17A0" w:rsidRPr="009652E1" w:rsidRDefault="00BB17A0" w:rsidP="00DA389F">
                  <w:pPr>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lastRenderedPageBreak/>
                    <w:t>INPC no subyacente</w:t>
                  </w:r>
                </w:p>
              </w:tc>
              <w:tc>
                <w:tcPr>
                  <w:tcW w:w="0" w:type="auto"/>
                  <w:shd w:val="clear" w:color="auto" w:fill="FFFFFF"/>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0.09</w:t>
                  </w:r>
                </w:p>
              </w:tc>
              <w:tc>
                <w:tcPr>
                  <w:tcW w:w="0" w:type="auto"/>
                  <w:shd w:val="clear" w:color="auto" w:fill="FFFFFF"/>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3.78</w:t>
                  </w:r>
                </w:p>
              </w:tc>
              <w:tc>
                <w:tcPr>
                  <w:tcW w:w="0" w:type="auto"/>
                  <w:shd w:val="clear" w:color="auto" w:fill="FFD966" w:themeFill="accent4" w:themeFillTint="99"/>
                  <w:vAlign w:val="center"/>
                  <w:hideMark/>
                </w:tcPr>
                <w:p w:rsidR="00BB17A0" w:rsidRPr="009652E1" w:rsidRDefault="00BB17A0" w:rsidP="00DA389F">
                  <w:pPr>
                    <w:jc w:val="right"/>
                    <w:rPr>
                      <w:rFonts w:ascii="Arial" w:eastAsia="Times New Roman" w:hAnsi="Arial" w:cs="Arial"/>
                      <w:color w:val="000000"/>
                      <w:sz w:val="18"/>
                      <w:szCs w:val="18"/>
                      <w:lang w:eastAsia="es-MX"/>
                    </w:rPr>
                  </w:pPr>
                  <w:r w:rsidRPr="009652E1">
                    <w:rPr>
                      <w:rFonts w:ascii="Arial" w:eastAsia="Times New Roman" w:hAnsi="Arial" w:cs="Arial"/>
                      <w:color w:val="000000"/>
                      <w:sz w:val="18"/>
                      <w:szCs w:val="18"/>
                      <w:lang w:eastAsia="es-MX"/>
                    </w:rPr>
                    <w:t>11.09</w:t>
                  </w:r>
                </w:p>
              </w:tc>
            </w:tr>
          </w:tbl>
          <w:p w:rsidR="00BB17A0" w:rsidRPr="009652E1" w:rsidRDefault="00BB17A0" w:rsidP="00DA389F">
            <w:pPr>
              <w:rPr>
                <w:rFonts w:ascii="Times New Roman" w:eastAsia="Times New Roman" w:hAnsi="Times New Roman" w:cs="Times New Roman"/>
                <w:sz w:val="24"/>
                <w:szCs w:val="24"/>
                <w:lang w:eastAsia="es-MX"/>
              </w:rPr>
            </w:pPr>
          </w:p>
        </w:tc>
      </w:tr>
      <w:tr w:rsidR="00BB17A0" w:rsidRPr="009652E1" w:rsidTr="00DA389F">
        <w:trPr>
          <w:tblCellSpacing w:w="0" w:type="dxa"/>
        </w:trPr>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r>
    </w:tbl>
    <w:p w:rsidR="00BB17A0" w:rsidRPr="009652E1" w:rsidRDefault="00BB17A0" w:rsidP="00BB17A0">
      <w:pPr>
        <w:rPr>
          <w:rFonts w:ascii="Times New Roman" w:eastAsia="Times New Roman" w:hAnsi="Times New Roman" w:cs="Times New Roman"/>
          <w:vanish/>
          <w:sz w:val="24"/>
          <w:szCs w:val="24"/>
          <w:lang w:eastAsia="es-MX"/>
        </w:rPr>
      </w:pPr>
    </w:p>
    <w:tbl>
      <w:tblPr>
        <w:tblW w:w="5000" w:type="pct"/>
        <w:tblCellSpacing w:w="0" w:type="dxa"/>
        <w:tblCellMar>
          <w:left w:w="0" w:type="dxa"/>
          <w:right w:w="0" w:type="dxa"/>
        </w:tblCellMar>
        <w:tblLook w:val="04A0" w:firstRow="1" w:lastRow="0" w:firstColumn="1" w:lastColumn="0" w:noHBand="0" w:noVBand="1"/>
      </w:tblPr>
      <w:tblGrid>
        <w:gridCol w:w="736"/>
        <w:gridCol w:w="7365"/>
        <w:gridCol w:w="737"/>
      </w:tblGrid>
      <w:tr w:rsidR="00BB17A0" w:rsidRPr="009652E1" w:rsidTr="00DA389F">
        <w:trPr>
          <w:tblCellSpacing w:w="0" w:type="dxa"/>
        </w:trPr>
        <w:tc>
          <w:tcPr>
            <w:tcW w:w="0" w:type="auto"/>
            <w:vAlign w:val="center"/>
            <w:hideMark/>
          </w:tcPr>
          <w:p w:rsidR="00BB17A0" w:rsidRPr="009652E1" w:rsidRDefault="00BB17A0" w:rsidP="00DA389F">
            <w:pPr>
              <w:rPr>
                <w:rFonts w:ascii="Times New Roman" w:eastAsia="Times New Roman" w:hAnsi="Times New Roman" w:cs="Times New Roman"/>
                <w:sz w:val="24"/>
                <w:szCs w:val="24"/>
                <w:lang w:eastAsia="es-MX"/>
              </w:rPr>
            </w:pPr>
          </w:p>
        </w:tc>
        <w:tc>
          <w:tcPr>
            <w:tcW w:w="0" w:type="auto"/>
            <w:vAlign w:val="center"/>
            <w:hideMark/>
          </w:tcPr>
          <w:p w:rsidR="00BB17A0" w:rsidRPr="009652E1" w:rsidRDefault="00BB17A0" w:rsidP="00DA389F">
            <w:pPr>
              <w:rPr>
                <w:rFonts w:ascii="Times New Roman" w:eastAsia="Times New Roman" w:hAnsi="Times New Roman" w:cs="Times New Roman"/>
                <w:sz w:val="24"/>
                <w:szCs w:val="24"/>
                <w:lang w:eastAsia="es-MX"/>
              </w:rPr>
            </w:pPr>
            <w:r w:rsidRPr="009652E1">
              <w:rPr>
                <w:rFonts w:ascii="Times New Roman" w:eastAsia="Times New Roman" w:hAnsi="Times New Roman" w:cs="Times New Roman"/>
                <w:sz w:val="24"/>
                <w:szCs w:val="24"/>
                <w:lang w:eastAsia="es-MX"/>
              </w:rPr>
              <w:t> </w:t>
            </w:r>
          </w:p>
        </w:tc>
        <w:tc>
          <w:tcPr>
            <w:tcW w:w="0" w:type="auto"/>
            <w:vAlign w:val="center"/>
            <w:hideMark/>
          </w:tcPr>
          <w:p w:rsidR="00BB17A0" w:rsidRPr="009652E1" w:rsidRDefault="00BB17A0" w:rsidP="00DA389F">
            <w:pPr>
              <w:rPr>
                <w:rFonts w:ascii="Times New Roman" w:eastAsia="Times New Roman" w:hAnsi="Times New Roman" w:cs="Times New Roman"/>
                <w:sz w:val="24"/>
                <w:szCs w:val="24"/>
                <w:lang w:eastAsia="es-MX"/>
              </w:rPr>
            </w:pPr>
          </w:p>
        </w:tc>
      </w:tr>
      <w:tr w:rsidR="00BB17A0" w:rsidRPr="009652E1" w:rsidTr="00DA389F">
        <w:trPr>
          <w:tblCellSpacing w:w="0" w:type="dxa"/>
        </w:trPr>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r>
      <w:tr w:rsidR="00BB17A0" w:rsidRPr="009652E1" w:rsidTr="00DA389F">
        <w:trPr>
          <w:tblCellSpacing w:w="0" w:type="dxa"/>
        </w:trPr>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c>
          <w:tcPr>
            <w:tcW w:w="0" w:type="auto"/>
            <w:vAlign w:val="center"/>
            <w:hideMark/>
          </w:tcPr>
          <w:p w:rsidR="00BB17A0" w:rsidRPr="009652E1" w:rsidRDefault="00BB17A0" w:rsidP="00DA389F">
            <w:pPr>
              <w:rPr>
                <w:rFonts w:ascii="Times New Roman" w:eastAsia="Times New Roman" w:hAnsi="Times New Roman" w:cs="Times New Roman"/>
                <w:sz w:val="20"/>
                <w:szCs w:val="20"/>
                <w:lang w:eastAsia="es-MX"/>
              </w:rPr>
            </w:pPr>
          </w:p>
        </w:tc>
      </w:tr>
    </w:tbl>
    <w:p w:rsidR="00BB17A0" w:rsidRDefault="00BB17A0" w:rsidP="00BB17A0">
      <w:pPr>
        <w:pStyle w:val="Texto"/>
        <w:spacing w:after="74" w:line="240" w:lineRule="auto"/>
        <w:ind w:firstLine="0"/>
        <w:rPr>
          <w:sz w:val="24"/>
        </w:rPr>
      </w:pPr>
      <w:r>
        <w:rPr>
          <w:noProof/>
          <w:lang w:val="es-MX"/>
        </w:rPr>
        <w:drawing>
          <wp:inline distT="0" distB="0" distL="0" distR="0" wp14:anchorId="74B16A91" wp14:editId="5552347C">
            <wp:extent cx="5612130" cy="3885941"/>
            <wp:effectExtent l="0" t="0" r="7620" b="635"/>
            <wp:docPr id="1" name="Imagen 1" descr="C:\Users\Antonio Mejia\AppData\Local\Microsoft\Windows\INetCache\Content.Word\Consulta[25-07-2017 13-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tonio Mejia\AppData\Local\Microsoft\Windows\INetCache\Content.Word\Consulta[25-07-2017 13-06-4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85941"/>
                    </a:xfrm>
                    <a:prstGeom prst="rect">
                      <a:avLst/>
                    </a:prstGeom>
                    <a:noFill/>
                    <a:ln>
                      <a:noFill/>
                    </a:ln>
                  </pic:spPr>
                </pic:pic>
              </a:graphicData>
            </a:graphic>
          </wp:inline>
        </w:drawing>
      </w:r>
      <w:r>
        <w:rPr>
          <w:rStyle w:val="Refdenotaalpie"/>
          <w:sz w:val="24"/>
        </w:rPr>
        <w:footnoteReference w:id="4"/>
      </w:r>
    </w:p>
    <w:p w:rsidR="00BB17A0" w:rsidRDefault="00BB17A0" w:rsidP="00BB17A0">
      <w:pPr>
        <w:pStyle w:val="Texto"/>
        <w:spacing w:after="74" w:line="240" w:lineRule="auto"/>
        <w:ind w:firstLine="0"/>
        <w:rPr>
          <w:sz w:val="24"/>
        </w:rPr>
      </w:pPr>
      <w:r>
        <w:rPr>
          <w:noProof/>
          <w:lang w:val="es-MX"/>
        </w:rPr>
        <w:lastRenderedPageBreak/>
        <w:drawing>
          <wp:inline distT="0" distB="0" distL="0" distR="0" wp14:anchorId="4DB463F8" wp14:editId="1C6C02A7">
            <wp:extent cx="5588758" cy="458301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84" t="15788" r="17682" b="12403"/>
                    <a:stretch/>
                  </pic:blipFill>
                  <pic:spPr bwMode="auto">
                    <a:xfrm>
                      <a:off x="0" y="0"/>
                      <a:ext cx="5605929" cy="4597097"/>
                    </a:xfrm>
                    <a:prstGeom prst="rect">
                      <a:avLst/>
                    </a:prstGeom>
                    <a:ln>
                      <a:noFill/>
                    </a:ln>
                    <a:extLst>
                      <a:ext uri="{53640926-AAD7-44D8-BBD7-CCE9431645EC}">
                        <a14:shadowObscured xmlns:a14="http://schemas.microsoft.com/office/drawing/2010/main"/>
                      </a:ext>
                    </a:extLst>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Como se observa en las gráficas anteriores, la inflación ha tenido una escalada de precios fuera del rango del objetivo de BANXICO, así mismo, es importante señalar, que los energéticos y tarifas autorizadas por el gobierno tiene una inflación del 12.86%, siendo este uno de los gastos más representativos para el Gobierno Municipal, por el consumo de combustibles y el pago de energía eléctrica.</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F960E5">
        <w:rPr>
          <w:sz w:val="24"/>
        </w:rPr>
        <w:t>El consumo privado en el mercado interior creció 4.1 por ciento entre diciembre de</w:t>
      </w:r>
      <w:r>
        <w:rPr>
          <w:sz w:val="24"/>
        </w:rPr>
        <w:t xml:space="preserve"> </w:t>
      </w:r>
      <w:r w:rsidRPr="00F960E5">
        <w:rPr>
          <w:sz w:val="24"/>
        </w:rPr>
        <w:t>2015 y el mismo mes de 2016; las ventas al menudeo crecieron 4.9 por ciento anual</w:t>
      </w:r>
      <w:r>
        <w:rPr>
          <w:sz w:val="24"/>
        </w:rPr>
        <w:t xml:space="preserve"> </w:t>
      </w:r>
      <w:r w:rsidRPr="00F960E5">
        <w:rPr>
          <w:sz w:val="24"/>
        </w:rPr>
        <w:t>en enero de 2017; las ventas de automóviles aumentaron 4.7 por ciento anual en el</w:t>
      </w:r>
      <w:r>
        <w:rPr>
          <w:sz w:val="24"/>
        </w:rPr>
        <w:t xml:space="preserve"> </w:t>
      </w:r>
      <w:r w:rsidRPr="00F960E5">
        <w:rPr>
          <w:sz w:val="24"/>
        </w:rPr>
        <w:t>primer bimestre del año; mientras que el empleo formal aumentó 4.2 por ciento anual</w:t>
      </w:r>
      <w:r>
        <w:rPr>
          <w:sz w:val="24"/>
        </w:rPr>
        <w:t xml:space="preserve"> </w:t>
      </w:r>
      <w:r w:rsidRPr="00F960E5">
        <w:rPr>
          <w:sz w:val="24"/>
        </w:rPr>
        <w:t>en febrero de 2017.</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En otro orden de ideas, c</w:t>
      </w:r>
      <w:r w:rsidRPr="00F960E5">
        <w:rPr>
          <w:sz w:val="24"/>
        </w:rPr>
        <w:t>on el fin de proveer certidumbre y afianzar el proceso de consolidación fiscal, el</w:t>
      </w:r>
      <w:r>
        <w:rPr>
          <w:sz w:val="24"/>
        </w:rPr>
        <w:t xml:space="preserve"> </w:t>
      </w:r>
      <w:r w:rsidRPr="00F960E5">
        <w:rPr>
          <w:sz w:val="24"/>
        </w:rPr>
        <w:t>Gobierno Federal implementó una serie de medidas encaminadas a preservar la</w:t>
      </w:r>
      <w:r>
        <w:rPr>
          <w:sz w:val="24"/>
        </w:rPr>
        <w:t xml:space="preserve"> </w:t>
      </w:r>
      <w:r w:rsidRPr="00F960E5">
        <w:rPr>
          <w:sz w:val="24"/>
        </w:rPr>
        <w:t>integridad de las finanzas públicas desde el inicio de 2016. Destacan un ajuste al gasto</w:t>
      </w:r>
      <w:r>
        <w:rPr>
          <w:sz w:val="24"/>
        </w:rPr>
        <w:t xml:space="preserve"> </w:t>
      </w:r>
      <w:r w:rsidRPr="00F960E5">
        <w:rPr>
          <w:sz w:val="24"/>
        </w:rPr>
        <w:t>programable por 13</w:t>
      </w:r>
      <w:r>
        <w:rPr>
          <w:sz w:val="24"/>
        </w:rPr>
        <w:t>2.3 mil millones de pesos (</w:t>
      </w:r>
      <w:proofErr w:type="spellStart"/>
      <w:r>
        <w:rPr>
          <w:sz w:val="24"/>
        </w:rPr>
        <w:t>mmp</w:t>
      </w:r>
      <w:proofErr w:type="spellEnd"/>
      <w:r>
        <w:rPr>
          <w:sz w:val="24"/>
        </w:rPr>
        <w:t>)</w:t>
      </w:r>
      <w:r w:rsidRPr="00F960E5">
        <w:rPr>
          <w:sz w:val="24"/>
        </w:rPr>
        <w:t xml:space="preserve"> en febrero, seguido por otro</w:t>
      </w:r>
      <w:r>
        <w:rPr>
          <w:sz w:val="24"/>
        </w:rPr>
        <w:t xml:space="preserve">, </w:t>
      </w:r>
      <w:r w:rsidRPr="00F960E5">
        <w:rPr>
          <w:sz w:val="24"/>
        </w:rPr>
        <w:t xml:space="preserve">anunciado en junio, por 31.7 </w:t>
      </w:r>
      <w:proofErr w:type="spellStart"/>
      <w:r w:rsidRPr="00F960E5">
        <w:rPr>
          <w:sz w:val="24"/>
        </w:rPr>
        <w:t>mmp</w:t>
      </w:r>
      <w:proofErr w:type="spellEnd"/>
      <w:r>
        <w:rPr>
          <w:sz w:val="24"/>
        </w:rPr>
        <w:t xml:space="preserve">. Derivado </w:t>
      </w:r>
      <w:r>
        <w:rPr>
          <w:sz w:val="24"/>
        </w:rPr>
        <w:lastRenderedPageBreak/>
        <w:t>de lo anterior, este Gobierno Municipal, reconoce la reducción en la atracción de recursos federales distintos al RAMO 28 y al RAMO 33, contrayendo el Tipo de Gasto Capital del Municipio.</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mc:AlternateContent>
          <mc:Choice Requires="wps">
            <w:drawing>
              <wp:anchor distT="0" distB="0" distL="114300" distR="114300" simplePos="0" relativeHeight="251661312" behindDoc="0" locked="0" layoutInCell="1" allowOverlap="1" wp14:anchorId="76AE872C" wp14:editId="2084A044">
                <wp:simplePos x="0" y="0"/>
                <wp:positionH relativeFrom="column">
                  <wp:posOffset>35560</wp:posOffset>
                </wp:positionH>
                <wp:positionV relativeFrom="paragraph">
                  <wp:posOffset>733586</wp:posOffset>
                </wp:positionV>
                <wp:extent cx="5554638" cy="156381"/>
                <wp:effectExtent l="19050" t="19050" r="27305" b="15240"/>
                <wp:wrapNone/>
                <wp:docPr id="13" name="Rectángulo 13"/>
                <wp:cNvGraphicFramePr/>
                <a:graphic xmlns:a="http://schemas.openxmlformats.org/drawingml/2006/main">
                  <a:graphicData uri="http://schemas.microsoft.com/office/word/2010/wordprocessingShape">
                    <wps:wsp>
                      <wps:cNvSpPr/>
                      <wps:spPr>
                        <a:xfrm>
                          <a:off x="0" y="0"/>
                          <a:ext cx="5554638" cy="156381"/>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09F15" id="Rectángulo 13" o:spid="_x0000_s1026" style="position:absolute;margin-left:2.8pt;margin-top:57.75pt;width:437.35pt;height:12.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" filled="f" strokecolor="yellow" strokeweight="3pt"/>
            </w:pict>
          </mc:Fallback>
        </mc:AlternateContent>
      </w:r>
      <w:r>
        <w:rPr>
          <w:noProof/>
          <w:lang w:val="es-MX"/>
        </w:rPr>
        <w:drawing>
          <wp:inline distT="0" distB="0" distL="0" distR="0" wp14:anchorId="1B051F28" wp14:editId="2E88FBD4">
            <wp:extent cx="5612130" cy="32188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218815"/>
                    </a:xfrm>
                    <a:prstGeom prst="rect">
                      <a:avLst/>
                    </a:prstGeom>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Como se observa en la gráfica anterior, los ingresos tributarios se han visto reducidos hasta el -2.4%, esto afectando la Recaudación Federal Participable, fuente de recursos elemental para las participaciones que recibe el municipio.</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Sin embargo, derivado del buen comportamiento de la economía nacional, podemos ver esta nueva gráfica para efectos del 2017:</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0288" behindDoc="0" locked="0" layoutInCell="1" allowOverlap="1" wp14:anchorId="5831B3A1" wp14:editId="05C50980">
                <wp:simplePos x="0" y="0"/>
                <wp:positionH relativeFrom="column">
                  <wp:posOffset>44450</wp:posOffset>
                </wp:positionH>
                <wp:positionV relativeFrom="paragraph">
                  <wp:posOffset>2885914</wp:posOffset>
                </wp:positionV>
                <wp:extent cx="5554638" cy="191068"/>
                <wp:effectExtent l="19050" t="19050" r="27305" b="19050"/>
                <wp:wrapNone/>
                <wp:docPr id="12" name="Rectángulo 12"/>
                <wp:cNvGraphicFramePr/>
                <a:graphic xmlns:a="http://schemas.openxmlformats.org/drawingml/2006/main">
                  <a:graphicData uri="http://schemas.microsoft.com/office/word/2010/wordprocessingShape">
                    <wps:wsp>
                      <wps:cNvSpPr/>
                      <wps:spPr>
                        <a:xfrm>
                          <a:off x="0" y="0"/>
                          <a:ext cx="5554638" cy="191068"/>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17DDC" id="Rectángulo 12" o:spid="_x0000_s1026" style="position:absolute;margin-left:3.5pt;margin-top:227.25pt;width:437.35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5MpQ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" filled="f" strokecolor="yellow" strokeweight="3pt"/>
            </w:pict>
          </mc:Fallback>
        </mc:AlternateContent>
      </w:r>
      <w:r>
        <w:rPr>
          <w:noProof/>
          <w:lang w:val="es-MX"/>
        </w:rPr>
        <mc:AlternateContent>
          <mc:Choice Requires="wps">
            <w:drawing>
              <wp:anchor distT="0" distB="0" distL="114300" distR="114300" simplePos="0" relativeHeight="251659264" behindDoc="0" locked="0" layoutInCell="1" allowOverlap="1" wp14:anchorId="730A1717" wp14:editId="6524B1E8">
                <wp:simplePos x="0" y="0"/>
                <wp:positionH relativeFrom="column">
                  <wp:posOffset>25334</wp:posOffset>
                </wp:positionH>
                <wp:positionV relativeFrom="paragraph">
                  <wp:posOffset>1741047</wp:posOffset>
                </wp:positionV>
                <wp:extent cx="5554638" cy="191068"/>
                <wp:effectExtent l="19050" t="19050" r="27305" b="19050"/>
                <wp:wrapNone/>
                <wp:docPr id="11" name="Rectángulo 11"/>
                <wp:cNvGraphicFramePr/>
                <a:graphic xmlns:a="http://schemas.openxmlformats.org/drawingml/2006/main">
                  <a:graphicData uri="http://schemas.microsoft.com/office/word/2010/wordprocessingShape">
                    <wps:wsp>
                      <wps:cNvSpPr/>
                      <wps:spPr>
                        <a:xfrm>
                          <a:off x="0" y="0"/>
                          <a:ext cx="5554638" cy="191068"/>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A03A9" id="Rectángulo 11" o:spid="_x0000_s1026" style="position:absolute;margin-left:2pt;margin-top:137.1pt;width:437.3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OpQ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" filled="f" strokecolor="yellow" strokeweight="3pt"/>
            </w:pict>
          </mc:Fallback>
        </mc:AlternateContent>
      </w:r>
      <w:r>
        <w:rPr>
          <w:noProof/>
          <w:lang w:val="es-MX"/>
        </w:rPr>
        <w:drawing>
          <wp:inline distT="0" distB="0" distL="0" distR="0" wp14:anchorId="4BCA087E" wp14:editId="20B4A33D">
            <wp:extent cx="5612130" cy="56737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673725"/>
                    </a:xfrm>
                    <a:prstGeom prst="rect">
                      <a:avLst/>
                    </a:prstGeom>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A efectos de tener información más actualizada, el Gobierno Municipal ha realizado una investigación con datos de la SHCP, donde se observa la siguiente información</w:t>
      </w:r>
      <w:r>
        <w:rPr>
          <w:rStyle w:val="Refdenotaalpie"/>
          <w:sz w:val="24"/>
        </w:rPr>
        <w:footnoteReference w:id="5"/>
      </w:r>
      <w:r>
        <w:rPr>
          <w:sz w:val="24"/>
        </w:rPr>
        <w:t>:</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0F5186">
        <w:rPr>
          <w:noProof/>
          <w:lang w:val="es-MX"/>
        </w:rPr>
        <w:lastRenderedPageBreak/>
        <w:drawing>
          <wp:inline distT="0" distB="0" distL="0" distR="0" wp14:anchorId="4CE7305A" wp14:editId="5C36DAB0">
            <wp:extent cx="5612130" cy="8127912"/>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8127912"/>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5408" behindDoc="0" locked="0" layoutInCell="1" allowOverlap="1" wp14:anchorId="3F7084A7" wp14:editId="5A9DD807">
                <wp:simplePos x="0" y="0"/>
                <wp:positionH relativeFrom="margin">
                  <wp:posOffset>5257004</wp:posOffset>
                </wp:positionH>
                <wp:positionV relativeFrom="paragraph">
                  <wp:posOffset>396240</wp:posOffset>
                </wp:positionV>
                <wp:extent cx="341194" cy="1630908"/>
                <wp:effectExtent l="19050" t="19050" r="20955" b="26670"/>
                <wp:wrapNone/>
                <wp:docPr id="33" name="Rectángulo 33"/>
                <wp:cNvGraphicFramePr/>
                <a:graphic xmlns:a="http://schemas.openxmlformats.org/drawingml/2006/main">
                  <a:graphicData uri="http://schemas.microsoft.com/office/word/2010/wordprocessingShape">
                    <wps:wsp>
                      <wps:cNvSpPr/>
                      <wps:spPr>
                        <a:xfrm>
                          <a:off x="0" y="0"/>
                          <a:ext cx="341194" cy="1630908"/>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AF4A5" id="Rectángulo 33" o:spid="_x0000_s1026" style="position:absolute;margin-left:413.95pt;margin-top:31.2pt;width:26.85pt;height:12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" filled="f" strokecolor="yellow" strokeweight="3pt">
                <w10:wrap anchorx="margin"/>
              </v:rect>
            </w:pict>
          </mc:Fallback>
        </mc:AlternateContent>
      </w:r>
      <w:r w:rsidRPr="000F5186">
        <w:rPr>
          <w:noProof/>
          <w:lang w:val="es-MX"/>
        </w:rPr>
        <w:drawing>
          <wp:inline distT="0" distB="0" distL="0" distR="0" wp14:anchorId="74756AD1" wp14:editId="578FD1CE">
            <wp:extent cx="5612130" cy="393057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930572"/>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124A23">
        <w:rPr>
          <w:noProof/>
          <w:lang w:val="es-MX"/>
        </w:rPr>
        <w:lastRenderedPageBreak/>
        <w:drawing>
          <wp:inline distT="0" distB="0" distL="0" distR="0" wp14:anchorId="4370ABAB" wp14:editId="5476A52C">
            <wp:extent cx="5612130" cy="648932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489325"/>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6432" behindDoc="0" locked="0" layoutInCell="1" allowOverlap="1" wp14:anchorId="66AB71F5" wp14:editId="5A3FB033">
                <wp:simplePos x="0" y="0"/>
                <wp:positionH relativeFrom="margin">
                  <wp:posOffset>5211483</wp:posOffset>
                </wp:positionH>
                <wp:positionV relativeFrom="paragraph">
                  <wp:posOffset>389918</wp:posOffset>
                </wp:positionV>
                <wp:extent cx="464024" cy="3807726"/>
                <wp:effectExtent l="19050" t="19050" r="12700" b="21590"/>
                <wp:wrapNone/>
                <wp:docPr id="34" name="Rectángulo 34"/>
                <wp:cNvGraphicFramePr/>
                <a:graphic xmlns:a="http://schemas.openxmlformats.org/drawingml/2006/main">
                  <a:graphicData uri="http://schemas.microsoft.com/office/word/2010/wordprocessingShape">
                    <wps:wsp>
                      <wps:cNvSpPr/>
                      <wps:spPr>
                        <a:xfrm>
                          <a:off x="0" y="0"/>
                          <a:ext cx="464024" cy="3807726"/>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D66B2" id="Rectángulo 34" o:spid="_x0000_s1026" style="position:absolute;margin-left:410.35pt;margin-top:30.7pt;width:36.55pt;height:29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" filled="f" strokecolor="yellow" strokeweight="3pt">
                <w10:wrap anchorx="margin"/>
              </v:rect>
            </w:pict>
          </mc:Fallback>
        </mc:AlternateContent>
      </w:r>
      <w:r w:rsidRPr="005046D7">
        <w:rPr>
          <w:noProof/>
          <w:lang w:val="es-MX"/>
        </w:rPr>
        <w:drawing>
          <wp:inline distT="0" distB="0" distL="0" distR="0" wp14:anchorId="58577974" wp14:editId="2EDB4AAE">
            <wp:extent cx="5612130" cy="4131852"/>
            <wp:effectExtent l="0" t="0" r="762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131852"/>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7456" behindDoc="0" locked="0" layoutInCell="1" allowOverlap="1" wp14:anchorId="2DCCD280" wp14:editId="25B43173">
                <wp:simplePos x="0" y="0"/>
                <wp:positionH relativeFrom="margin">
                  <wp:posOffset>4890761</wp:posOffset>
                </wp:positionH>
                <wp:positionV relativeFrom="paragraph">
                  <wp:posOffset>601459</wp:posOffset>
                </wp:positionV>
                <wp:extent cx="764274" cy="6059606"/>
                <wp:effectExtent l="19050" t="19050" r="17145" b="17780"/>
                <wp:wrapNone/>
                <wp:docPr id="35" name="Rectángulo 35"/>
                <wp:cNvGraphicFramePr/>
                <a:graphic xmlns:a="http://schemas.openxmlformats.org/drawingml/2006/main">
                  <a:graphicData uri="http://schemas.microsoft.com/office/word/2010/wordprocessingShape">
                    <wps:wsp>
                      <wps:cNvSpPr/>
                      <wps:spPr>
                        <a:xfrm>
                          <a:off x="0" y="0"/>
                          <a:ext cx="764274" cy="6059606"/>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8DA2D" id="Rectángulo 35" o:spid="_x0000_s1026" style="position:absolute;margin-left:385.1pt;margin-top:47.35pt;width:60.2pt;height:47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hOpQIAAJM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" filled="f" strokecolor="yellow" strokeweight="3pt">
                <w10:wrap anchorx="margin"/>
              </v:rect>
            </w:pict>
          </mc:Fallback>
        </mc:AlternateContent>
      </w:r>
      <w:r w:rsidRPr="00124A23">
        <w:rPr>
          <w:noProof/>
          <w:lang w:val="es-MX"/>
        </w:rPr>
        <w:drawing>
          <wp:inline distT="0" distB="0" distL="0" distR="0" wp14:anchorId="0CD9BE0E" wp14:editId="185CD82F">
            <wp:extent cx="5612130" cy="6601786"/>
            <wp:effectExtent l="0" t="0" r="762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601786"/>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8480" behindDoc="0" locked="0" layoutInCell="1" allowOverlap="1" wp14:anchorId="3CDE4649" wp14:editId="363B35BD">
                <wp:simplePos x="0" y="0"/>
                <wp:positionH relativeFrom="margin">
                  <wp:posOffset>4917431</wp:posOffset>
                </wp:positionH>
                <wp:positionV relativeFrom="paragraph">
                  <wp:posOffset>566325</wp:posOffset>
                </wp:positionV>
                <wp:extent cx="764274" cy="6065994"/>
                <wp:effectExtent l="19050" t="19050" r="17145" b="11430"/>
                <wp:wrapNone/>
                <wp:docPr id="36" name="Rectángulo 36"/>
                <wp:cNvGraphicFramePr/>
                <a:graphic xmlns:a="http://schemas.openxmlformats.org/drawingml/2006/main">
                  <a:graphicData uri="http://schemas.microsoft.com/office/word/2010/wordprocessingShape">
                    <wps:wsp>
                      <wps:cNvSpPr/>
                      <wps:spPr>
                        <a:xfrm>
                          <a:off x="0" y="0"/>
                          <a:ext cx="764274" cy="6065994"/>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D092A" id="Rectángulo 36" o:spid="_x0000_s1026" style="position:absolute;margin-left:387.2pt;margin-top:44.6pt;width:60.2pt;height:47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" filled="f" strokecolor="yellow" strokeweight="3pt">
                <w10:wrap anchorx="margin"/>
              </v:rect>
            </w:pict>
          </mc:Fallback>
        </mc:AlternateContent>
      </w:r>
      <w:r w:rsidRPr="00B27BC2">
        <w:rPr>
          <w:noProof/>
          <w:lang w:val="es-MX"/>
        </w:rPr>
        <w:drawing>
          <wp:inline distT="0" distB="0" distL="0" distR="0" wp14:anchorId="1889579F" wp14:editId="67F33EEF">
            <wp:extent cx="5612130" cy="66314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6631400"/>
                    </a:xfrm>
                    <a:prstGeom prst="rect">
                      <a:avLst/>
                    </a:prstGeom>
                    <a:noFill/>
                    <a:ln>
                      <a:noFill/>
                    </a:ln>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Así mismo en el contenido de los Pre Criterios antes citados, se desglosan los siguientes anexos: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9504" behindDoc="0" locked="0" layoutInCell="1" allowOverlap="1" wp14:anchorId="79C23E4C" wp14:editId="2BDCE3E5">
                <wp:simplePos x="0" y="0"/>
                <wp:positionH relativeFrom="margin">
                  <wp:posOffset>-186149</wp:posOffset>
                </wp:positionH>
                <wp:positionV relativeFrom="paragraph">
                  <wp:posOffset>1085632</wp:posOffset>
                </wp:positionV>
                <wp:extent cx="5554345" cy="149860"/>
                <wp:effectExtent l="19050" t="19050" r="27305" b="21590"/>
                <wp:wrapNone/>
                <wp:docPr id="39" name="Rectángulo 39"/>
                <wp:cNvGraphicFramePr/>
                <a:graphic xmlns:a="http://schemas.openxmlformats.org/drawingml/2006/main">
                  <a:graphicData uri="http://schemas.microsoft.com/office/word/2010/wordprocessingShape">
                    <wps:wsp>
                      <wps:cNvSpPr/>
                      <wps:spPr>
                        <a:xfrm>
                          <a:off x="0" y="0"/>
                          <a:ext cx="5554345" cy="14986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5BEFE" id="Rectángulo 39" o:spid="_x0000_s1026" style="position:absolute;margin-left:-14.65pt;margin-top:85.5pt;width:437.35pt;height:11.8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" filled="f" strokecolor="yellow" strokeweight="3pt">
                <w10:wrap anchorx="margin"/>
              </v:rect>
            </w:pict>
          </mc:Fallback>
        </mc:AlternateContent>
      </w:r>
      <w:r w:rsidRPr="00B27BC2">
        <w:rPr>
          <w:noProof/>
          <w:lang w:val="es-MX"/>
        </w:rPr>
        <w:drawing>
          <wp:inline distT="0" distB="0" distL="0" distR="0" wp14:anchorId="541F8C73" wp14:editId="595C03D3">
            <wp:extent cx="4525010" cy="8258810"/>
            <wp:effectExtent l="0" t="0" r="889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5010" cy="8258810"/>
                    </a:xfrm>
                    <a:prstGeom prst="rect">
                      <a:avLst/>
                    </a:prstGeom>
                  </pic:spPr>
                </pic:pic>
              </a:graphicData>
            </a:graphic>
          </wp:inline>
        </w:drawing>
      </w: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62336" behindDoc="0" locked="0" layoutInCell="1" allowOverlap="1" wp14:anchorId="3A0B8CA5" wp14:editId="681F6B5C">
                <wp:simplePos x="0" y="0"/>
                <wp:positionH relativeFrom="margin">
                  <wp:posOffset>5080</wp:posOffset>
                </wp:positionH>
                <wp:positionV relativeFrom="paragraph">
                  <wp:posOffset>2703830</wp:posOffset>
                </wp:positionV>
                <wp:extent cx="5554345" cy="149860"/>
                <wp:effectExtent l="19050" t="19050" r="27305" b="21590"/>
                <wp:wrapNone/>
                <wp:docPr id="26" name="Rectángulo 26"/>
                <wp:cNvGraphicFramePr/>
                <a:graphic xmlns:a="http://schemas.openxmlformats.org/drawingml/2006/main">
                  <a:graphicData uri="http://schemas.microsoft.com/office/word/2010/wordprocessingShape">
                    <wps:wsp>
                      <wps:cNvSpPr/>
                      <wps:spPr>
                        <a:xfrm>
                          <a:off x="0" y="0"/>
                          <a:ext cx="5554345" cy="14986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FB15C5" id="Rectángulo 26" o:spid="_x0000_s1026" style="position:absolute;margin-left:.4pt;margin-top:212.9pt;width:437.35pt;height:11.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" filled="f" strokecolor="yellow" strokeweight="3pt">
                <w10:wrap anchorx="margin"/>
              </v:rect>
            </w:pict>
          </mc:Fallback>
        </mc:AlternateContent>
      </w:r>
      <w:r>
        <w:rPr>
          <w:noProof/>
          <w:lang w:val="es-MX"/>
        </w:rPr>
        <mc:AlternateContent>
          <mc:Choice Requires="wps">
            <w:drawing>
              <wp:anchor distT="0" distB="0" distL="114300" distR="114300" simplePos="0" relativeHeight="251663360" behindDoc="0" locked="0" layoutInCell="1" allowOverlap="1" wp14:anchorId="186684F6" wp14:editId="3007915B">
                <wp:simplePos x="0" y="0"/>
                <wp:positionH relativeFrom="margin">
                  <wp:posOffset>16510</wp:posOffset>
                </wp:positionH>
                <wp:positionV relativeFrom="paragraph">
                  <wp:posOffset>3149600</wp:posOffset>
                </wp:positionV>
                <wp:extent cx="5554345" cy="149860"/>
                <wp:effectExtent l="19050" t="19050" r="27305" b="21590"/>
                <wp:wrapNone/>
                <wp:docPr id="27" name="Rectángulo 27"/>
                <wp:cNvGraphicFramePr/>
                <a:graphic xmlns:a="http://schemas.openxmlformats.org/drawingml/2006/main">
                  <a:graphicData uri="http://schemas.microsoft.com/office/word/2010/wordprocessingShape">
                    <wps:wsp>
                      <wps:cNvSpPr/>
                      <wps:spPr>
                        <a:xfrm>
                          <a:off x="0" y="0"/>
                          <a:ext cx="5554345" cy="14986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4805F" id="Rectángulo 27" o:spid="_x0000_s1026" style="position:absolute;margin-left:1.3pt;margin-top:248pt;width:437.35pt;height:11.8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" filled="f" strokecolor="yellow" strokeweight="3pt">
                <w10:wrap anchorx="margin"/>
              </v:rect>
            </w:pict>
          </mc:Fallback>
        </mc:AlternateContent>
      </w:r>
      <w:r>
        <w:rPr>
          <w:noProof/>
          <w:lang w:val="es-MX"/>
        </w:rPr>
        <mc:AlternateContent>
          <mc:Choice Requires="wps">
            <w:drawing>
              <wp:anchor distT="0" distB="0" distL="114300" distR="114300" simplePos="0" relativeHeight="251664384" behindDoc="0" locked="0" layoutInCell="1" allowOverlap="1" wp14:anchorId="2D602E8B" wp14:editId="5DE66635">
                <wp:simplePos x="0" y="0"/>
                <wp:positionH relativeFrom="margin">
                  <wp:posOffset>16510</wp:posOffset>
                </wp:positionH>
                <wp:positionV relativeFrom="paragraph">
                  <wp:posOffset>4602954</wp:posOffset>
                </wp:positionV>
                <wp:extent cx="5554345" cy="149860"/>
                <wp:effectExtent l="19050" t="19050" r="27305" b="21590"/>
                <wp:wrapNone/>
                <wp:docPr id="28" name="Rectángulo 28"/>
                <wp:cNvGraphicFramePr/>
                <a:graphic xmlns:a="http://schemas.openxmlformats.org/drawingml/2006/main">
                  <a:graphicData uri="http://schemas.microsoft.com/office/word/2010/wordprocessingShape">
                    <wps:wsp>
                      <wps:cNvSpPr/>
                      <wps:spPr>
                        <a:xfrm>
                          <a:off x="0" y="0"/>
                          <a:ext cx="5554345" cy="14986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DDDBA" id="Rectángulo 28" o:spid="_x0000_s1026" style="position:absolute;margin-left:1.3pt;margin-top:362.45pt;width:437.35pt;height:11.8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" filled="f" strokecolor="yellow" strokeweight="3pt">
                <w10:wrap anchorx="margin"/>
              </v:rect>
            </w:pict>
          </mc:Fallback>
        </mc:AlternateContent>
      </w:r>
      <w:r>
        <w:rPr>
          <w:noProof/>
          <w:lang w:val="es-MX"/>
        </w:rPr>
        <w:drawing>
          <wp:inline distT="0" distB="0" distL="0" distR="0" wp14:anchorId="6AEBE5AE" wp14:editId="76D729A9">
            <wp:extent cx="5612130" cy="538353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383530"/>
                    </a:xfrm>
                    <a:prstGeom prst="rect">
                      <a:avLst/>
                    </a:prstGeom>
                  </pic:spPr>
                </pic:pic>
              </a:graphicData>
            </a:graphic>
          </wp:inline>
        </w:drawing>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De igual modo, el Centro de Estudios de la Finanzas Públicas con base en los Pre Criterios, emite la siguiente proyección de participaciones: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w:lastRenderedPageBreak/>
        <w:drawing>
          <wp:inline distT="0" distB="0" distL="0" distR="0" wp14:anchorId="37663680" wp14:editId="67459AF3">
            <wp:extent cx="5612130" cy="389763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897630"/>
                    </a:xfrm>
                    <a:prstGeom prst="rect">
                      <a:avLst/>
                    </a:prstGeom>
                  </pic:spPr>
                </pic:pic>
              </a:graphicData>
            </a:graphic>
          </wp:inline>
        </w:drawing>
      </w:r>
    </w:p>
    <w:p w:rsidR="00BB17A0" w:rsidRDefault="00BB17A0" w:rsidP="00BB17A0">
      <w:pPr>
        <w:pStyle w:val="Texto"/>
        <w:spacing w:after="74" w:line="240" w:lineRule="auto"/>
        <w:ind w:firstLine="0"/>
        <w:rPr>
          <w:sz w:val="24"/>
        </w:rPr>
      </w:pPr>
      <w:r>
        <w:rPr>
          <w:sz w:val="24"/>
        </w:rPr>
        <w:t xml:space="preserve">Adicional a lo anterior, y como lo señala la </w:t>
      </w:r>
      <w:r w:rsidRPr="00FE6F5E">
        <w:rPr>
          <w:sz w:val="24"/>
        </w:rPr>
        <w:t xml:space="preserve">Ley de Disciplina Financiera de las Entidades Federativas y los Municipios </w:t>
      </w:r>
      <w:r>
        <w:rPr>
          <w:sz w:val="24"/>
        </w:rPr>
        <w:t>en su artículo 18 fracción I, III y el último párrafo, donde se describe lo siguiente:</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left="708" w:firstLine="0"/>
        <w:rPr>
          <w:i/>
          <w:sz w:val="24"/>
        </w:rPr>
      </w:pPr>
      <w:r>
        <w:rPr>
          <w:i/>
          <w:sz w:val="24"/>
        </w:rPr>
        <w:t xml:space="preserve">I. </w:t>
      </w:r>
      <w:r w:rsidRPr="00FE6F5E">
        <w:rPr>
          <w:i/>
          <w:sz w:val="24"/>
        </w:rPr>
        <w:t>Proyecciones de finanzas públicas, considerando las premisas empleadas en los Criterios Generales de Política Económica.</w:t>
      </w:r>
    </w:p>
    <w:p w:rsidR="00BB17A0" w:rsidRPr="00FE6F5E" w:rsidRDefault="00BB17A0" w:rsidP="00BB17A0">
      <w:pPr>
        <w:pStyle w:val="Texto"/>
        <w:spacing w:after="74" w:line="240" w:lineRule="auto"/>
        <w:ind w:left="708" w:firstLine="0"/>
        <w:rPr>
          <w:i/>
          <w:sz w:val="24"/>
        </w:rPr>
      </w:pPr>
    </w:p>
    <w:p w:rsidR="00BB17A0" w:rsidRPr="00FE6F5E" w:rsidRDefault="00BB17A0" w:rsidP="00BB17A0">
      <w:pPr>
        <w:pStyle w:val="Texto"/>
        <w:spacing w:after="74" w:line="240" w:lineRule="auto"/>
        <w:ind w:left="708" w:firstLine="0"/>
        <w:rPr>
          <w:i/>
          <w:sz w:val="24"/>
        </w:rPr>
      </w:pPr>
      <w:r w:rsidRPr="00FE6F5E">
        <w:rPr>
          <w:i/>
          <w:sz w:val="24"/>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BB17A0" w:rsidRDefault="00BB17A0" w:rsidP="00BB17A0">
      <w:pPr>
        <w:pStyle w:val="Texto"/>
        <w:spacing w:after="74" w:line="240" w:lineRule="auto"/>
        <w:ind w:left="708" w:firstLine="0"/>
        <w:rPr>
          <w:i/>
          <w:sz w:val="24"/>
        </w:rPr>
      </w:pPr>
    </w:p>
    <w:p w:rsidR="00BB17A0" w:rsidRDefault="00BB17A0" w:rsidP="00BB17A0">
      <w:pPr>
        <w:pStyle w:val="Texto"/>
        <w:spacing w:after="74" w:line="240" w:lineRule="auto"/>
        <w:ind w:left="708" w:firstLine="0"/>
        <w:rPr>
          <w:i/>
          <w:sz w:val="24"/>
        </w:rPr>
      </w:pPr>
      <w:r>
        <w:rPr>
          <w:i/>
          <w:sz w:val="24"/>
        </w:rPr>
        <w:t>…</w:t>
      </w:r>
    </w:p>
    <w:p w:rsidR="00BB17A0" w:rsidRDefault="00BB17A0" w:rsidP="00BB17A0">
      <w:pPr>
        <w:pStyle w:val="Texto"/>
        <w:spacing w:after="74" w:line="240" w:lineRule="auto"/>
        <w:ind w:left="708" w:firstLine="0"/>
        <w:rPr>
          <w:i/>
          <w:sz w:val="24"/>
        </w:rPr>
      </w:pPr>
      <w:r w:rsidRPr="00FE6F5E">
        <w:rPr>
          <w:i/>
          <w:sz w:val="24"/>
        </w:rPr>
        <w:t>III. Los resultados de las finanzas públicas que abarquen un periodo de los tres últimos años y el ejercicio fiscal en cuestión, de acuerdo con los formatos que emita el Consejo Nacional de Armonización Contable para este fin, y</w:t>
      </w:r>
    </w:p>
    <w:p w:rsidR="00BB17A0" w:rsidRPr="00FE6F5E" w:rsidRDefault="00BB17A0" w:rsidP="00BB17A0">
      <w:pPr>
        <w:pStyle w:val="Texto"/>
        <w:spacing w:after="74" w:line="240" w:lineRule="auto"/>
        <w:ind w:left="708" w:firstLine="0"/>
        <w:rPr>
          <w:i/>
          <w:sz w:val="24"/>
        </w:rPr>
      </w:pPr>
    </w:p>
    <w:p w:rsidR="00BB17A0" w:rsidRPr="00FE6F5E" w:rsidRDefault="00BB17A0" w:rsidP="00BB17A0">
      <w:pPr>
        <w:pStyle w:val="Texto"/>
        <w:spacing w:after="74" w:line="240" w:lineRule="auto"/>
        <w:ind w:left="708" w:firstLine="0"/>
        <w:rPr>
          <w:i/>
          <w:sz w:val="24"/>
        </w:rPr>
      </w:pPr>
      <w:r>
        <w:rPr>
          <w:i/>
          <w:sz w:val="24"/>
        </w:rPr>
        <w:t>…</w:t>
      </w:r>
    </w:p>
    <w:p w:rsidR="00BB17A0" w:rsidRPr="00FE6F5E" w:rsidRDefault="00BB17A0" w:rsidP="00BB17A0">
      <w:pPr>
        <w:pStyle w:val="Texto"/>
        <w:spacing w:after="74" w:line="240" w:lineRule="auto"/>
        <w:ind w:left="708" w:firstLine="0"/>
        <w:rPr>
          <w:sz w:val="24"/>
        </w:rPr>
      </w:pPr>
      <w:r w:rsidRPr="00FE6F5E">
        <w:rPr>
          <w:i/>
          <w:sz w:val="24"/>
        </w:rPr>
        <w:t xml:space="preserve">Las proyecciones y resultados a que se refieren las fracciones I y III, respectivamente, comprenderán sólo un año para el caso de los Municipios </w:t>
      </w:r>
      <w:r w:rsidRPr="00FE6F5E">
        <w:rPr>
          <w:i/>
          <w:sz w:val="24"/>
        </w:rPr>
        <w:lastRenderedPageBreak/>
        <w:t>con una población menor a 200,000 habitantes, de acuerdo con el último censo o conteo de población que publique el Instituto Nacional de Estadística y Geografía. Dichos Municipios contarán con el apoyo técnico de la secretaría de finanzas o su equivalente del Estado para cumplir lo previsto en este artículo.</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sz w:val="24"/>
        </w:rPr>
        <w:t xml:space="preserve">El Gobierno Municipal, realizó un análisis de los Criterios Generales de Política Económica 2017, donde se realiza una proyección de </w:t>
      </w:r>
      <w:r w:rsidRPr="009423DE">
        <w:rPr>
          <w:sz w:val="24"/>
        </w:rPr>
        <w:t>Marco Macroeconómico 2017-2022</w:t>
      </w:r>
      <w:r>
        <w:rPr>
          <w:sz w:val="24"/>
        </w:rPr>
        <w:t xml:space="preserve"> y </w:t>
      </w:r>
      <w:r w:rsidRPr="009423DE">
        <w:rPr>
          <w:sz w:val="24"/>
        </w:rPr>
        <w:t>Perspectivas de finanzas públicas 2018-2022</w:t>
      </w:r>
      <w:r>
        <w:rPr>
          <w:sz w:val="24"/>
        </w:rPr>
        <w:t>, siendo los siguientes datos: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Pr>
          <w:noProof/>
          <w:lang w:val="es-MX"/>
        </w:rPr>
        <mc:AlternateContent>
          <mc:Choice Requires="wps">
            <w:drawing>
              <wp:anchor distT="0" distB="0" distL="114300" distR="114300" simplePos="0" relativeHeight="251673600" behindDoc="0" locked="0" layoutInCell="1" allowOverlap="1" wp14:anchorId="74563CEF" wp14:editId="2B6C82CE">
                <wp:simplePos x="0" y="0"/>
                <wp:positionH relativeFrom="margin">
                  <wp:posOffset>3840208</wp:posOffset>
                </wp:positionH>
                <wp:positionV relativeFrom="paragraph">
                  <wp:posOffset>1638339</wp:posOffset>
                </wp:positionV>
                <wp:extent cx="446897" cy="721567"/>
                <wp:effectExtent l="0" t="0" r="10795" b="21590"/>
                <wp:wrapNone/>
                <wp:docPr id="16" name="Rectángulo 16"/>
                <wp:cNvGraphicFramePr/>
                <a:graphic xmlns:a="http://schemas.openxmlformats.org/drawingml/2006/main">
                  <a:graphicData uri="http://schemas.microsoft.com/office/word/2010/wordprocessingShape">
                    <wps:wsp>
                      <wps:cNvSpPr/>
                      <wps:spPr>
                        <a:xfrm>
                          <a:off x="0" y="0"/>
                          <a:ext cx="446897" cy="721567"/>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F04F3" id="Rectángulo 16" o:spid="_x0000_s1026" style="position:absolute;margin-left:302.4pt;margin-top:129pt;width:35.2pt;height:5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" filled="f" strokecolor="#4472c4 [3204]" strokeweight="1.5pt">
                <w10:wrap anchorx="margin"/>
              </v:rect>
            </w:pict>
          </mc:Fallback>
        </mc:AlternateContent>
      </w:r>
      <w:r>
        <w:rPr>
          <w:noProof/>
          <w:lang w:val="es-MX"/>
        </w:rPr>
        <mc:AlternateContent>
          <mc:Choice Requires="wps">
            <w:drawing>
              <wp:anchor distT="0" distB="0" distL="114300" distR="114300" simplePos="0" relativeHeight="251670528" behindDoc="0" locked="0" layoutInCell="1" allowOverlap="1" wp14:anchorId="7CE2D48D" wp14:editId="25011C83">
                <wp:simplePos x="0" y="0"/>
                <wp:positionH relativeFrom="margin">
                  <wp:posOffset>81280</wp:posOffset>
                </wp:positionH>
                <wp:positionV relativeFrom="paragraph">
                  <wp:posOffset>2166490</wp:posOffset>
                </wp:positionV>
                <wp:extent cx="5554345" cy="111760"/>
                <wp:effectExtent l="0" t="0" r="27305" b="21590"/>
                <wp:wrapNone/>
                <wp:docPr id="7" name="Rectángulo 7"/>
                <wp:cNvGraphicFramePr/>
                <a:graphic xmlns:a="http://schemas.openxmlformats.org/drawingml/2006/main">
                  <a:graphicData uri="http://schemas.microsoft.com/office/word/2010/wordprocessingShape">
                    <wps:wsp>
                      <wps:cNvSpPr/>
                      <wps:spPr>
                        <a:xfrm>
                          <a:off x="0" y="0"/>
                          <a:ext cx="5554345" cy="11176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8569D" id="Rectángulo 7" o:spid="_x0000_s1026" style="position:absolute;margin-left:6.4pt;margin-top:170.6pt;width:437.35pt;height:8.8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" filled="f" strokecolor="yellow" strokeweight="1.5pt">
                <w10:wrap anchorx="margin"/>
              </v:rect>
            </w:pict>
          </mc:Fallback>
        </mc:AlternateContent>
      </w:r>
      <w:r>
        <w:rPr>
          <w:noProof/>
          <w:lang w:val="es-MX"/>
        </w:rPr>
        <mc:AlternateContent>
          <mc:Choice Requires="wps">
            <w:drawing>
              <wp:anchor distT="0" distB="0" distL="114300" distR="114300" simplePos="0" relativeHeight="251671552" behindDoc="0" locked="0" layoutInCell="1" allowOverlap="1" wp14:anchorId="36AF87A9" wp14:editId="06F42F79">
                <wp:simplePos x="0" y="0"/>
                <wp:positionH relativeFrom="margin">
                  <wp:posOffset>89665</wp:posOffset>
                </wp:positionH>
                <wp:positionV relativeFrom="paragraph">
                  <wp:posOffset>1727835</wp:posOffset>
                </wp:positionV>
                <wp:extent cx="5554345" cy="111967"/>
                <wp:effectExtent l="0" t="0" r="27305" b="21590"/>
                <wp:wrapNone/>
                <wp:docPr id="9" name="Rectángulo 9"/>
                <wp:cNvGraphicFramePr/>
                <a:graphic xmlns:a="http://schemas.openxmlformats.org/drawingml/2006/main">
                  <a:graphicData uri="http://schemas.microsoft.com/office/word/2010/wordprocessingShape">
                    <wps:wsp>
                      <wps:cNvSpPr/>
                      <wps:spPr>
                        <a:xfrm>
                          <a:off x="0" y="0"/>
                          <a:ext cx="5554345" cy="111967"/>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61B2F" id="Rectángulo 9" o:spid="_x0000_s1026" style="position:absolute;margin-left:7.05pt;margin-top:136.05pt;width:437.35pt;height:8.8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" filled="f" strokecolor="yellow" strokeweight="1.5pt">
                <w10:wrap anchorx="margin"/>
              </v:rect>
            </w:pict>
          </mc:Fallback>
        </mc:AlternateContent>
      </w:r>
      <w:r>
        <w:rPr>
          <w:noProof/>
          <w:lang w:val="es-MX"/>
        </w:rPr>
        <w:drawing>
          <wp:inline distT="0" distB="0" distL="0" distR="0" wp14:anchorId="60CDD699" wp14:editId="53AE9AC6">
            <wp:extent cx="5612130" cy="41363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136390"/>
                    </a:xfrm>
                    <a:prstGeom prst="rect">
                      <a:avLst/>
                    </a:prstGeom>
                  </pic:spPr>
                </pic:pic>
              </a:graphicData>
            </a:graphic>
          </wp:inline>
        </w:drawing>
      </w:r>
    </w:p>
    <w:p w:rsidR="00BB17A0" w:rsidRDefault="00BB17A0" w:rsidP="00BB17A0">
      <w:pPr>
        <w:pStyle w:val="Texto"/>
        <w:spacing w:after="74" w:line="240" w:lineRule="auto"/>
        <w:ind w:firstLine="0"/>
        <w:rPr>
          <w:sz w:val="24"/>
        </w:rPr>
      </w:pPr>
      <w:r>
        <w:rPr>
          <w:noProof/>
          <w:lang w:val="es-MX"/>
        </w:rPr>
        <w:lastRenderedPageBreak/>
        <mc:AlternateContent>
          <mc:Choice Requires="wps">
            <w:drawing>
              <wp:anchor distT="0" distB="0" distL="114300" distR="114300" simplePos="0" relativeHeight="251674624" behindDoc="0" locked="0" layoutInCell="1" allowOverlap="1" wp14:anchorId="6C748D0C" wp14:editId="4E53ED82">
                <wp:simplePos x="0" y="0"/>
                <wp:positionH relativeFrom="margin">
                  <wp:posOffset>3745735</wp:posOffset>
                </wp:positionH>
                <wp:positionV relativeFrom="paragraph">
                  <wp:posOffset>4498975</wp:posOffset>
                </wp:positionV>
                <wp:extent cx="446897" cy="143069"/>
                <wp:effectExtent l="0" t="0" r="10795" b="28575"/>
                <wp:wrapNone/>
                <wp:docPr id="17" name="Rectángulo 17"/>
                <wp:cNvGraphicFramePr/>
                <a:graphic xmlns:a="http://schemas.openxmlformats.org/drawingml/2006/main">
                  <a:graphicData uri="http://schemas.microsoft.com/office/word/2010/wordprocessingShape">
                    <wps:wsp>
                      <wps:cNvSpPr/>
                      <wps:spPr>
                        <a:xfrm>
                          <a:off x="0" y="0"/>
                          <a:ext cx="446897" cy="143069"/>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529A0" id="Rectángulo 17" o:spid="_x0000_s1026" style="position:absolute;margin-left:294.95pt;margin-top:354.25pt;width:35.2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" filled="f" strokecolor="#4472c4 [3204]" strokeweight="1.5pt">
                <w10:wrap anchorx="margin"/>
              </v:rect>
            </w:pict>
          </mc:Fallback>
        </mc:AlternateContent>
      </w:r>
      <w:r>
        <w:rPr>
          <w:noProof/>
          <w:lang w:val="es-MX"/>
        </w:rPr>
        <mc:AlternateContent>
          <mc:Choice Requires="wps">
            <w:drawing>
              <wp:anchor distT="0" distB="0" distL="114300" distR="114300" simplePos="0" relativeHeight="251672576" behindDoc="0" locked="0" layoutInCell="1" allowOverlap="1" wp14:anchorId="04CB80A7" wp14:editId="0E1333C7">
                <wp:simplePos x="0" y="0"/>
                <wp:positionH relativeFrom="margin">
                  <wp:posOffset>47120</wp:posOffset>
                </wp:positionH>
                <wp:positionV relativeFrom="paragraph">
                  <wp:posOffset>4523740</wp:posOffset>
                </wp:positionV>
                <wp:extent cx="5554345" cy="111760"/>
                <wp:effectExtent l="0" t="0" r="27305" b="21590"/>
                <wp:wrapNone/>
                <wp:docPr id="10" name="Rectángulo 10"/>
                <wp:cNvGraphicFramePr/>
                <a:graphic xmlns:a="http://schemas.openxmlformats.org/drawingml/2006/main">
                  <a:graphicData uri="http://schemas.microsoft.com/office/word/2010/wordprocessingShape">
                    <wps:wsp>
                      <wps:cNvSpPr/>
                      <wps:spPr>
                        <a:xfrm>
                          <a:off x="0" y="0"/>
                          <a:ext cx="5554345" cy="11176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684E0" id="Rectángulo 10" o:spid="_x0000_s1026" style="position:absolute;margin-left:3.7pt;margin-top:356.2pt;width:437.35pt;height:8.8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" filled="f" strokecolor="yellow" strokeweight="1.5pt">
                <w10:wrap anchorx="margin"/>
              </v:rect>
            </w:pict>
          </mc:Fallback>
        </mc:AlternateContent>
      </w:r>
      <w:r>
        <w:rPr>
          <w:noProof/>
          <w:lang w:val="es-MX"/>
        </w:rPr>
        <w:drawing>
          <wp:inline distT="0" distB="0" distL="0" distR="0" wp14:anchorId="11B61A1C" wp14:editId="12145C39">
            <wp:extent cx="5612130" cy="64344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6434455"/>
                    </a:xfrm>
                    <a:prstGeom prst="rect">
                      <a:avLst/>
                    </a:prstGeom>
                  </pic:spPr>
                </pic:pic>
              </a:graphicData>
            </a:graphic>
          </wp:inline>
        </w:drawing>
      </w:r>
    </w:p>
    <w:p w:rsidR="00BB17A0" w:rsidRDefault="00BB17A0" w:rsidP="00BB17A0">
      <w:pPr>
        <w:pStyle w:val="Texto"/>
        <w:spacing w:after="74" w:line="240" w:lineRule="auto"/>
        <w:ind w:firstLine="0"/>
        <w:rPr>
          <w:sz w:val="24"/>
        </w:rPr>
      </w:pPr>
    </w:p>
    <w:p w:rsidR="00BB17A0" w:rsidRPr="00DE6326" w:rsidRDefault="00BB17A0" w:rsidP="00BB17A0">
      <w:pPr>
        <w:pStyle w:val="Texto"/>
        <w:spacing w:after="74" w:line="240" w:lineRule="auto"/>
        <w:ind w:firstLine="0"/>
        <w:rPr>
          <w:b/>
          <w:sz w:val="24"/>
        </w:rPr>
      </w:pPr>
      <w:r w:rsidRPr="00DE6326">
        <w:rPr>
          <w:b/>
          <w:sz w:val="24"/>
        </w:rPr>
        <w:t>Riesgos relevantes para las finanzas públicas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A94342">
        <w:rPr>
          <w:sz w:val="24"/>
        </w:rPr>
        <w:t>Con el objetivo de evaluar la sustentabilidad de las finanzas públicas, a continuación se presenta</w:t>
      </w:r>
      <w:r>
        <w:rPr>
          <w:sz w:val="24"/>
        </w:rPr>
        <w:t xml:space="preserve"> </w:t>
      </w:r>
      <w:r w:rsidRPr="00A94342">
        <w:rPr>
          <w:sz w:val="24"/>
        </w:rPr>
        <w:t>un análisis de las posibles desviaciones de los ingresos y gasto público respecto a la ILIF como consecuencia de movimientos en las principales variables macroeconómicas. Estas</w:t>
      </w:r>
      <w:r>
        <w:rPr>
          <w:sz w:val="24"/>
        </w:rPr>
        <w:t xml:space="preserve"> </w:t>
      </w:r>
      <w:r w:rsidRPr="00A94342">
        <w:rPr>
          <w:sz w:val="24"/>
        </w:rPr>
        <w:t>desviaciones no consideran efectos conjuntos entre variables, por lo que deben ser</w:t>
      </w:r>
      <w:r>
        <w:rPr>
          <w:sz w:val="24"/>
        </w:rPr>
        <w:t xml:space="preserve"> </w:t>
      </w:r>
      <w:r w:rsidRPr="00A94342">
        <w:rPr>
          <w:sz w:val="24"/>
        </w:rPr>
        <w:t>consideradas como impactos aislados a las finanzas públicas</w:t>
      </w:r>
      <w:r>
        <w:rPr>
          <w:sz w:val="24"/>
        </w:rPr>
        <w:t xml:space="preserve"> </w:t>
      </w:r>
    </w:p>
    <w:p w:rsidR="00BB17A0" w:rsidRDefault="00BB17A0" w:rsidP="00BB17A0">
      <w:pPr>
        <w:pStyle w:val="Texto"/>
        <w:numPr>
          <w:ilvl w:val="0"/>
          <w:numId w:val="4"/>
        </w:numPr>
        <w:spacing w:after="74" w:line="240" w:lineRule="auto"/>
        <w:rPr>
          <w:sz w:val="24"/>
        </w:rPr>
      </w:pPr>
      <w:r>
        <w:rPr>
          <w:sz w:val="24"/>
        </w:rPr>
        <w:lastRenderedPageBreak/>
        <w:t>Derivado del año político electoral, donde se renovarán alcaldías, representantes diputados, senadores, gobernador y presidente de la república, puede generar una percepción negativa a la ciudadanía y reducir el incremento en el pago de sus contribuciones.</w:t>
      </w:r>
    </w:p>
    <w:p w:rsidR="00BB17A0" w:rsidRDefault="00BB17A0" w:rsidP="00BB17A0">
      <w:pPr>
        <w:pStyle w:val="Texto"/>
        <w:spacing w:after="74" w:line="240" w:lineRule="auto"/>
        <w:ind w:left="720" w:firstLine="0"/>
        <w:rPr>
          <w:sz w:val="24"/>
        </w:rPr>
      </w:pPr>
    </w:p>
    <w:p w:rsidR="00BB17A0" w:rsidRDefault="00BB17A0" w:rsidP="00BB17A0">
      <w:pPr>
        <w:pStyle w:val="Texto"/>
        <w:numPr>
          <w:ilvl w:val="0"/>
          <w:numId w:val="4"/>
        </w:numPr>
        <w:spacing w:after="74" w:line="240" w:lineRule="auto"/>
        <w:rPr>
          <w:sz w:val="24"/>
        </w:rPr>
      </w:pPr>
      <w:r>
        <w:rPr>
          <w:sz w:val="24"/>
        </w:rPr>
        <w:t>Ajustes al gasto programable a nivel federal, conllevando reducción dentro del gasto federalizado etiquetado.</w:t>
      </w:r>
    </w:p>
    <w:p w:rsidR="00BB17A0" w:rsidRDefault="00BB17A0" w:rsidP="00BB17A0">
      <w:pPr>
        <w:pStyle w:val="Prrafodelista"/>
        <w:rPr>
          <w:rFonts w:cs="Times New Roman"/>
          <w:sz w:val="24"/>
        </w:rPr>
      </w:pPr>
    </w:p>
    <w:p w:rsidR="00BB17A0" w:rsidRDefault="00BB17A0" w:rsidP="00BB17A0">
      <w:pPr>
        <w:pStyle w:val="Texto"/>
        <w:numPr>
          <w:ilvl w:val="0"/>
          <w:numId w:val="4"/>
        </w:numPr>
        <w:spacing w:after="74" w:line="240" w:lineRule="auto"/>
        <w:rPr>
          <w:sz w:val="24"/>
        </w:rPr>
      </w:pPr>
      <w:r w:rsidRPr="00E4068C">
        <w:rPr>
          <w:sz w:val="24"/>
        </w:rPr>
        <w:t>Un aumento de la tasa de interés afecta directamente al gasto no programable del Sector Público</w:t>
      </w:r>
      <w:r>
        <w:rPr>
          <w:sz w:val="24"/>
        </w:rPr>
        <w:t>, el gasto disponible de los ciudadanos y las empresas,</w:t>
      </w:r>
      <w:r w:rsidRPr="00E4068C">
        <w:rPr>
          <w:sz w:val="24"/>
        </w:rPr>
        <w:t xml:space="preserve"> al incrementar el pago de intereses de la deuda a tasa variable y los</w:t>
      </w:r>
      <w:r>
        <w:rPr>
          <w:sz w:val="24"/>
        </w:rPr>
        <w:t xml:space="preserve"> </w:t>
      </w:r>
      <w:r w:rsidRPr="00E4068C">
        <w:rPr>
          <w:sz w:val="24"/>
        </w:rPr>
        <w:t>costos de refinanciamiento de la deuda que está por vencer.</w:t>
      </w:r>
    </w:p>
    <w:p w:rsidR="00BB17A0" w:rsidRDefault="00BB17A0" w:rsidP="00BB17A0">
      <w:pPr>
        <w:pStyle w:val="Prrafodelista"/>
        <w:rPr>
          <w:rFonts w:cs="Times New Roman"/>
          <w:sz w:val="24"/>
        </w:rPr>
      </w:pPr>
    </w:p>
    <w:p w:rsidR="00BB17A0" w:rsidRDefault="00BB17A0" w:rsidP="00BB17A0">
      <w:pPr>
        <w:pStyle w:val="Texto"/>
        <w:numPr>
          <w:ilvl w:val="0"/>
          <w:numId w:val="4"/>
        </w:numPr>
        <w:spacing w:after="74" w:line="240" w:lineRule="auto"/>
        <w:rPr>
          <w:sz w:val="24"/>
        </w:rPr>
      </w:pPr>
      <w:r w:rsidRPr="00E4068C">
        <w:rPr>
          <w:sz w:val="24"/>
        </w:rPr>
        <w:t>Una apreciación del peso frente al dólar reduce los ingresos petroleros debido a que una proporción elevada de los mismos está asociada a las exportaciones de crudo netas de importaciones de hidrocarburos, al mismo tiempo que disminuye el servicio</w:t>
      </w:r>
      <w:r>
        <w:rPr>
          <w:sz w:val="24"/>
        </w:rPr>
        <w:t xml:space="preserve"> </w:t>
      </w:r>
      <w:r w:rsidRPr="00E4068C">
        <w:rPr>
          <w:sz w:val="24"/>
        </w:rPr>
        <w:t>de la deuda denominada en moneda extranjera.</w:t>
      </w:r>
    </w:p>
    <w:p w:rsidR="00BB17A0" w:rsidRDefault="00BB17A0" w:rsidP="00BB17A0">
      <w:pPr>
        <w:pStyle w:val="Prrafodelista"/>
        <w:rPr>
          <w:rFonts w:cs="Times New Roman"/>
          <w:sz w:val="24"/>
        </w:rPr>
      </w:pPr>
    </w:p>
    <w:p w:rsidR="00BB17A0" w:rsidRDefault="00BB17A0" w:rsidP="00BB17A0">
      <w:pPr>
        <w:pStyle w:val="Texto"/>
        <w:numPr>
          <w:ilvl w:val="0"/>
          <w:numId w:val="4"/>
        </w:numPr>
        <w:spacing w:after="74" w:line="240" w:lineRule="auto"/>
        <w:rPr>
          <w:sz w:val="24"/>
        </w:rPr>
      </w:pPr>
      <w:r>
        <w:rPr>
          <w:sz w:val="24"/>
        </w:rPr>
        <w:t>Expectativas de la renegociación del tratado de libre comercio, donde podrían afectarse fuentes de empleo dentro del país, así como la productividad.</w:t>
      </w:r>
    </w:p>
    <w:p w:rsidR="00BB17A0" w:rsidRDefault="00BB17A0" w:rsidP="00BB17A0">
      <w:pPr>
        <w:pStyle w:val="Prrafodelista"/>
        <w:rPr>
          <w:rFonts w:cs="Times New Roman"/>
          <w:sz w:val="24"/>
        </w:rPr>
      </w:pPr>
    </w:p>
    <w:p w:rsidR="00BB17A0" w:rsidRPr="00E4068C" w:rsidRDefault="00BB17A0" w:rsidP="00BB17A0">
      <w:pPr>
        <w:pStyle w:val="Texto"/>
        <w:numPr>
          <w:ilvl w:val="0"/>
          <w:numId w:val="4"/>
        </w:numPr>
        <w:spacing w:after="74" w:line="240" w:lineRule="auto"/>
        <w:rPr>
          <w:sz w:val="24"/>
        </w:rPr>
      </w:pPr>
      <w:r>
        <w:rPr>
          <w:sz w:val="24"/>
        </w:rPr>
        <w:t>Incremento en el desempleo y mayores solicitudes de subsidios y ayudas sociales y menores ingresos.</w:t>
      </w:r>
    </w:p>
    <w:p w:rsidR="00BB17A0" w:rsidRDefault="00BB17A0" w:rsidP="00BB17A0">
      <w:pPr>
        <w:pStyle w:val="Prrafodelista"/>
        <w:rPr>
          <w:rFonts w:cs="Times New Roman"/>
          <w:sz w:val="24"/>
        </w:rPr>
      </w:pPr>
    </w:p>
    <w:p w:rsidR="00BB17A0" w:rsidRPr="00DE6326" w:rsidRDefault="00BB17A0" w:rsidP="00BB17A0">
      <w:pPr>
        <w:pStyle w:val="Texto"/>
        <w:spacing w:after="74" w:line="240" w:lineRule="auto"/>
        <w:ind w:firstLine="0"/>
        <w:rPr>
          <w:b/>
          <w:sz w:val="24"/>
        </w:rPr>
      </w:pPr>
      <w:r w:rsidRPr="00DE6326">
        <w:rPr>
          <w:b/>
          <w:sz w:val="24"/>
        </w:rPr>
        <w:t>Conclusiones aplicables al municipio de Atengo, Jalisco:</w:t>
      </w:r>
    </w:p>
    <w:p w:rsidR="00BB17A0" w:rsidRDefault="00BB17A0" w:rsidP="00BB17A0">
      <w:pPr>
        <w:pStyle w:val="Texto"/>
        <w:spacing w:after="74" w:line="240" w:lineRule="auto"/>
        <w:ind w:firstLine="0"/>
        <w:rPr>
          <w:sz w:val="24"/>
        </w:rPr>
      </w:pPr>
    </w:p>
    <w:p w:rsidR="00BB17A0" w:rsidRDefault="00DE6326" w:rsidP="00BB17A0">
      <w:pPr>
        <w:pStyle w:val="Texto"/>
        <w:spacing w:after="74" w:line="240" w:lineRule="auto"/>
        <w:ind w:firstLine="0"/>
        <w:rPr>
          <w:sz w:val="24"/>
        </w:rPr>
      </w:pPr>
      <w:r>
        <w:rPr>
          <w:b/>
          <w:sz w:val="24"/>
        </w:rPr>
        <w:t>PRIMERO.</w:t>
      </w:r>
      <w:r w:rsidR="00BB17A0">
        <w:rPr>
          <w:sz w:val="24"/>
        </w:rPr>
        <w:t xml:space="preserve"> Para el 2018, se propone no incrementar las cuotas y tarifas de la Ley de Ingresos del Municipio de Atengo, Jalisco, para el ejercicio fiscal 2018, con la finalidad de apoyar las economías familiares de los habitantes del municipio, no obstante la inflación reflejada por el Banco de México.</w:t>
      </w:r>
    </w:p>
    <w:p w:rsidR="00BB17A0" w:rsidRDefault="00BB17A0" w:rsidP="00BB17A0">
      <w:pPr>
        <w:pStyle w:val="Texto"/>
        <w:spacing w:after="74" w:line="240" w:lineRule="auto"/>
        <w:ind w:firstLine="0"/>
        <w:rPr>
          <w:sz w:val="24"/>
        </w:rPr>
      </w:pPr>
    </w:p>
    <w:p w:rsidR="00BB17A0" w:rsidRDefault="00DE6326" w:rsidP="00BB17A0">
      <w:pPr>
        <w:pStyle w:val="Texto"/>
        <w:spacing w:after="74" w:line="240" w:lineRule="auto"/>
        <w:ind w:firstLine="0"/>
        <w:rPr>
          <w:sz w:val="24"/>
        </w:rPr>
      </w:pPr>
      <w:r>
        <w:rPr>
          <w:b/>
          <w:sz w:val="24"/>
        </w:rPr>
        <w:t>SEGUNDO.</w:t>
      </w:r>
      <w:r w:rsidR="00BB17A0">
        <w:rPr>
          <w:sz w:val="24"/>
        </w:rPr>
        <w:t xml:space="preserve"> Respecto a la proyección de Finanzas Públicas para el ejercicio fiscal 2019, acorde con la SHCP se proyecta un incremento de 3% NOMINAL en el rubro de derechos, productos, aprovechamientos e i</w:t>
      </w:r>
      <w:r w:rsidR="00BB17A0" w:rsidRPr="00A94342">
        <w:rPr>
          <w:sz w:val="24"/>
        </w:rPr>
        <w:t>ngresos por ventas de Bienes y Servicios</w:t>
      </w:r>
      <w:r w:rsidR="00BB17A0">
        <w:rPr>
          <w:sz w:val="24"/>
        </w:rPr>
        <w:t>.</w:t>
      </w:r>
    </w:p>
    <w:p w:rsidR="00BB17A0" w:rsidRDefault="00BB17A0" w:rsidP="00BB17A0">
      <w:pPr>
        <w:pStyle w:val="Texto"/>
        <w:spacing w:after="74" w:line="240" w:lineRule="auto"/>
        <w:ind w:firstLine="0"/>
        <w:rPr>
          <w:sz w:val="24"/>
        </w:rPr>
      </w:pPr>
    </w:p>
    <w:p w:rsidR="00BB17A0" w:rsidRDefault="00DE6326" w:rsidP="00BB17A0">
      <w:pPr>
        <w:pStyle w:val="Texto"/>
        <w:spacing w:after="74" w:line="240" w:lineRule="auto"/>
        <w:ind w:firstLine="0"/>
        <w:rPr>
          <w:sz w:val="24"/>
        </w:rPr>
      </w:pPr>
      <w:r>
        <w:rPr>
          <w:b/>
          <w:sz w:val="24"/>
        </w:rPr>
        <w:t>TERCERO.</w:t>
      </w:r>
      <w:r w:rsidR="00BB17A0">
        <w:rPr>
          <w:sz w:val="24"/>
        </w:rPr>
        <w:t xml:space="preserve"> Conforme a la política de no incrementar las cuotas y tarifas de la Ley de Ingresos del Municipio de Atengo, Jalisco, para el ejercicio fiscal 2018, se prevé una recaudación similar para el Impuesto Predial y el Impuesto de Transmisiones Patrimoniales, a la proyectada para el 2017.</w:t>
      </w:r>
    </w:p>
    <w:p w:rsidR="00BB17A0" w:rsidRDefault="00BB17A0" w:rsidP="00BB17A0">
      <w:pPr>
        <w:pStyle w:val="Texto"/>
        <w:spacing w:after="74" w:line="240" w:lineRule="auto"/>
        <w:ind w:firstLine="0"/>
        <w:rPr>
          <w:sz w:val="24"/>
        </w:rPr>
      </w:pPr>
    </w:p>
    <w:p w:rsidR="00BB17A0" w:rsidRDefault="00DE6326" w:rsidP="00BB17A0">
      <w:pPr>
        <w:pStyle w:val="Texto"/>
        <w:spacing w:after="74" w:line="240" w:lineRule="auto"/>
        <w:ind w:firstLine="0"/>
        <w:rPr>
          <w:sz w:val="24"/>
        </w:rPr>
      </w:pPr>
      <w:r>
        <w:rPr>
          <w:b/>
          <w:sz w:val="24"/>
        </w:rPr>
        <w:lastRenderedPageBreak/>
        <w:t>CUARTO.</w:t>
      </w:r>
      <w:r w:rsidR="00BB17A0">
        <w:rPr>
          <w:b/>
          <w:sz w:val="24"/>
        </w:rPr>
        <w:t xml:space="preserve"> </w:t>
      </w:r>
      <w:r w:rsidR="00BB17A0">
        <w:rPr>
          <w:sz w:val="24"/>
        </w:rPr>
        <w:t>Acorde a la proyección del PIB para 2019, se prevé una ampliación en la Recaudación de Impuesto Predial y Transmisiones Patrimoniales por la cantidad de 2.5% NOMINAL.</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DE6326">
        <w:rPr>
          <w:b/>
          <w:sz w:val="24"/>
        </w:rPr>
        <w:t>QUINTO</w:t>
      </w:r>
      <w:r w:rsidR="00DE6326" w:rsidRPr="00DE6326">
        <w:rPr>
          <w:b/>
          <w:sz w:val="24"/>
        </w:rPr>
        <w:t>.</w:t>
      </w:r>
      <w:r>
        <w:rPr>
          <w:sz w:val="24"/>
        </w:rPr>
        <w:t xml:space="preserve"> Se proyecta un crecimiento para 2018 de 5% NOMINAL para las participaciones que recibirá el municipio durante el 2018. Lo anterior, en apego a lo señalado por los Pre Criterios Generales de Política Económica y el Centro de Estudios de las Finanzas Públicas, adicional a mantener un esquema reservado, derivado de la perspectiva de volatilidad internacional y el panorama de los ingresos petroleros.</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DE6326">
        <w:rPr>
          <w:b/>
          <w:sz w:val="24"/>
        </w:rPr>
        <w:t>SEXTO</w:t>
      </w:r>
      <w:r w:rsidR="00DE6326">
        <w:rPr>
          <w:b/>
          <w:sz w:val="24"/>
        </w:rPr>
        <w:t>.</w:t>
      </w:r>
      <w:r>
        <w:rPr>
          <w:sz w:val="24"/>
        </w:rPr>
        <w:t xml:space="preserve"> Se programa un aumento NOMINAL de 5.3% para el </w:t>
      </w:r>
      <w:r w:rsidRPr="007D426B">
        <w:rPr>
          <w:sz w:val="24"/>
        </w:rPr>
        <w:t>Fondo de Aportaciones para el Fortalecimiento de los Municipios</w:t>
      </w:r>
      <w:r>
        <w:rPr>
          <w:sz w:val="24"/>
        </w:rPr>
        <w:t xml:space="preserve"> “FAFM” (FORTAMUN-DF) y de 4.9% NOMINAL para el </w:t>
      </w:r>
      <w:r w:rsidRPr="007D426B">
        <w:rPr>
          <w:sz w:val="24"/>
        </w:rPr>
        <w:t>Fondo de Aportaciones para la</w:t>
      </w:r>
      <w:r>
        <w:rPr>
          <w:sz w:val="24"/>
        </w:rPr>
        <w:t xml:space="preserve"> </w:t>
      </w:r>
      <w:r w:rsidRPr="007D426B">
        <w:rPr>
          <w:sz w:val="24"/>
        </w:rPr>
        <w:t xml:space="preserve">Infraestructura Social </w:t>
      </w:r>
      <w:r>
        <w:rPr>
          <w:sz w:val="24"/>
        </w:rPr>
        <w:t>Municipal.</w:t>
      </w:r>
    </w:p>
    <w:p w:rsidR="00BB17A0" w:rsidRDefault="00BB17A0" w:rsidP="00BB17A0">
      <w:pPr>
        <w:pStyle w:val="Texto"/>
        <w:spacing w:after="74" w:line="240" w:lineRule="auto"/>
        <w:ind w:firstLine="0"/>
        <w:rPr>
          <w:sz w:val="24"/>
        </w:rPr>
      </w:pPr>
    </w:p>
    <w:p w:rsidR="00BB17A0" w:rsidRDefault="00BB17A0" w:rsidP="00BB17A0">
      <w:pPr>
        <w:pStyle w:val="Texto"/>
        <w:spacing w:after="74" w:line="240" w:lineRule="auto"/>
        <w:ind w:firstLine="0"/>
        <w:rPr>
          <w:sz w:val="24"/>
        </w:rPr>
      </w:pPr>
      <w:r w:rsidRPr="00DE6326">
        <w:rPr>
          <w:b/>
          <w:sz w:val="24"/>
        </w:rPr>
        <w:t>SÉPTIMO</w:t>
      </w:r>
      <w:r w:rsidR="00DE6326">
        <w:rPr>
          <w:b/>
          <w:sz w:val="24"/>
        </w:rPr>
        <w:t>.</w:t>
      </w:r>
      <w:r>
        <w:rPr>
          <w:sz w:val="24"/>
        </w:rPr>
        <w:t xml:space="preserve"> Conforme a lo proyectado en finanzas públicas para 2019, se contempla un incremento de 3.6% para el 2019 en el rubro de participaciones y aportaciones.</w:t>
      </w:r>
    </w:p>
    <w:p w:rsidR="00BB17A0" w:rsidRDefault="00393DC2" w:rsidP="00BB17A0">
      <w:pPr>
        <w:pStyle w:val="Texto"/>
        <w:spacing w:after="74" w:line="240" w:lineRule="auto"/>
        <w:ind w:firstLine="0"/>
        <w:rPr>
          <w:sz w:val="24"/>
        </w:rPr>
      </w:pPr>
      <w:r w:rsidRPr="00534E80">
        <w:rPr>
          <w:noProof/>
          <w:lang w:val="es-MX"/>
        </w:rPr>
        <w:drawing>
          <wp:inline distT="0" distB="0" distL="0" distR="0" wp14:anchorId="5A8D321B" wp14:editId="75C820BA">
            <wp:extent cx="5612130" cy="334454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344545"/>
                    </a:xfrm>
                    <a:prstGeom prst="rect">
                      <a:avLst/>
                    </a:prstGeom>
                    <a:noFill/>
                    <a:ln>
                      <a:noFill/>
                    </a:ln>
                  </pic:spPr>
                </pic:pic>
              </a:graphicData>
            </a:graphic>
          </wp:inline>
        </w:drawing>
      </w:r>
    </w:p>
    <w:p w:rsidR="00BB17A0" w:rsidRDefault="00BB17A0" w:rsidP="00BB17A0">
      <w:pPr>
        <w:pStyle w:val="Texto"/>
        <w:spacing w:after="74" w:line="240" w:lineRule="auto"/>
        <w:ind w:firstLine="0"/>
        <w:rPr>
          <w:color w:val="FF0000"/>
          <w:sz w:val="24"/>
        </w:rPr>
      </w:pPr>
      <w:r w:rsidRPr="00534E80">
        <w:rPr>
          <w:noProof/>
          <w:lang w:val="es-MX"/>
        </w:rPr>
        <w:lastRenderedPageBreak/>
        <w:drawing>
          <wp:inline distT="0" distB="0" distL="0" distR="0" wp14:anchorId="640DBE36" wp14:editId="7E46F8CD">
            <wp:extent cx="5612130" cy="3349174"/>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349174"/>
                    </a:xfrm>
                    <a:prstGeom prst="rect">
                      <a:avLst/>
                    </a:prstGeom>
                    <a:noFill/>
                    <a:ln>
                      <a:noFill/>
                    </a:ln>
                  </pic:spPr>
                </pic:pic>
              </a:graphicData>
            </a:graphic>
          </wp:inline>
        </w:drawing>
      </w:r>
    </w:p>
    <w:p w:rsidR="00BB17A0" w:rsidRPr="00E871B0" w:rsidRDefault="00BB17A0" w:rsidP="00BB17A0">
      <w:pPr>
        <w:rPr>
          <w:rFonts w:ascii="Arial" w:hAnsi="Arial" w:cs="Arial"/>
          <w:sz w:val="24"/>
          <w:szCs w:val="24"/>
        </w:rPr>
      </w:pPr>
    </w:p>
    <w:p w:rsidR="00E63DEF" w:rsidRPr="00E871B0" w:rsidRDefault="00E63DEF" w:rsidP="00E63DEF">
      <w:pPr>
        <w:rPr>
          <w:rFonts w:ascii="Arial" w:hAnsi="Arial" w:cs="Arial"/>
          <w:b/>
          <w:sz w:val="24"/>
          <w:szCs w:val="24"/>
        </w:rPr>
      </w:pPr>
    </w:p>
    <w:p w:rsidR="00E63DEF" w:rsidRPr="002D27B3" w:rsidRDefault="00DE6326" w:rsidP="002D27B3">
      <w:pPr>
        <w:pStyle w:val="Prrafodelista"/>
        <w:numPr>
          <w:ilvl w:val="0"/>
          <w:numId w:val="8"/>
        </w:numPr>
        <w:rPr>
          <w:rFonts w:ascii="Arial" w:hAnsi="Arial" w:cs="Arial"/>
          <w:b/>
          <w:sz w:val="24"/>
          <w:szCs w:val="24"/>
          <w:u w:val="single"/>
        </w:rPr>
      </w:pPr>
      <w:r w:rsidRPr="002D27B3">
        <w:rPr>
          <w:rFonts w:ascii="Arial" w:hAnsi="Arial" w:cs="Arial"/>
          <w:b/>
          <w:sz w:val="24"/>
          <w:szCs w:val="24"/>
          <w:u w:val="single"/>
        </w:rPr>
        <w:t>S</w:t>
      </w:r>
      <w:r w:rsidR="00E63DEF" w:rsidRPr="002D27B3">
        <w:rPr>
          <w:rFonts w:ascii="Arial" w:hAnsi="Arial" w:cs="Arial"/>
          <w:b/>
          <w:sz w:val="24"/>
          <w:szCs w:val="24"/>
          <w:u w:val="single"/>
        </w:rPr>
        <w:t>ubsidio de predial</w:t>
      </w:r>
    </w:p>
    <w:p w:rsidR="00E63DEF" w:rsidRPr="00E871B0" w:rsidRDefault="00E63DEF" w:rsidP="00E63DEF">
      <w:pPr>
        <w:rPr>
          <w:rFonts w:ascii="Arial" w:hAnsi="Arial" w:cs="Arial"/>
          <w:sz w:val="24"/>
          <w:szCs w:val="24"/>
          <w:lang w:val="es-ES_tradnl"/>
        </w:rPr>
      </w:pPr>
    </w:p>
    <w:p w:rsidR="00E63DEF" w:rsidRPr="00E871B0" w:rsidRDefault="00E63DEF" w:rsidP="00E63DEF">
      <w:pPr>
        <w:rPr>
          <w:rFonts w:ascii="Arial" w:hAnsi="Arial" w:cs="Arial"/>
          <w:sz w:val="24"/>
          <w:szCs w:val="24"/>
        </w:rPr>
      </w:pPr>
      <w:r w:rsidRPr="00E871B0">
        <w:rPr>
          <w:rFonts w:ascii="Arial" w:hAnsi="Arial" w:cs="Arial"/>
          <w:sz w:val="24"/>
          <w:szCs w:val="24"/>
        </w:rPr>
        <w:t xml:space="preserve">La iniciativa que se somete a su consideración, cumple el objetivo principal de brindar una política tributaria equitativa, tal como lo establece el artículo 31 fracción IV de la Constitución Política de los Estados Unidos Mexicanos. Es decir, que el contribuyente que tiene más contribuya más y el que menos tiene contribuya en menor proporción, y que lo haga bajo ciertas prerrogativas, tratando de la misma forma a los iguales, así como eliminando todo tipo de beneficios especiales o privilegios, sin descuidar a aquéllos que se encuentran en una situación de pobreza, marginación o rezago. </w:t>
      </w:r>
    </w:p>
    <w:p w:rsidR="00E63DEF" w:rsidRPr="00E871B0" w:rsidRDefault="00E63DEF" w:rsidP="00E63DEF">
      <w:pPr>
        <w:rPr>
          <w:rFonts w:ascii="Arial" w:hAnsi="Arial" w:cs="Arial"/>
          <w:sz w:val="24"/>
          <w:szCs w:val="24"/>
        </w:rPr>
      </w:pPr>
    </w:p>
    <w:p w:rsidR="00E63DEF" w:rsidRPr="00E871B0" w:rsidRDefault="00E63DEF" w:rsidP="00E63DEF">
      <w:pPr>
        <w:rPr>
          <w:rFonts w:ascii="Arial" w:hAnsi="Arial" w:cs="Arial"/>
          <w:sz w:val="24"/>
          <w:szCs w:val="24"/>
        </w:rPr>
      </w:pPr>
      <w:r w:rsidRPr="00E871B0">
        <w:rPr>
          <w:rFonts w:ascii="Arial" w:hAnsi="Arial" w:cs="Arial"/>
          <w:sz w:val="24"/>
          <w:szCs w:val="24"/>
        </w:rPr>
        <w:t>En este sentido se modifican los requisitos para el subsidio del predial para las personas jubiladas, pensionadas o discapacitadas, toda vez que el contribuyente interesado en obtener la reducción del 50%, debe demostrar tener por lo menos una carencia social y contar con un ingreso inferior a la línea de bienestar, con base en lo determinado por el CONEVAL en los LINEAMIENTOS y criterios generales para la definición, identificación y medición de la pobreza, publicados en el DOF: 16/06/2010.</w:t>
      </w:r>
    </w:p>
    <w:p w:rsidR="00E63DEF" w:rsidRPr="00E871B0" w:rsidRDefault="00E63DEF" w:rsidP="00E63DEF">
      <w:pPr>
        <w:rPr>
          <w:rFonts w:ascii="Arial" w:hAnsi="Arial" w:cs="Arial"/>
          <w:sz w:val="24"/>
          <w:szCs w:val="24"/>
        </w:rPr>
      </w:pPr>
    </w:p>
    <w:p w:rsidR="00E63DEF" w:rsidRPr="00E871B0" w:rsidRDefault="00E63DEF" w:rsidP="00E63DEF">
      <w:pPr>
        <w:rPr>
          <w:rFonts w:ascii="Arial" w:hAnsi="Arial" w:cs="Arial"/>
          <w:sz w:val="24"/>
          <w:szCs w:val="24"/>
        </w:rPr>
      </w:pPr>
      <w:r w:rsidRPr="00E871B0">
        <w:rPr>
          <w:rFonts w:ascii="Arial" w:hAnsi="Arial" w:cs="Arial"/>
          <w:sz w:val="24"/>
          <w:szCs w:val="24"/>
        </w:rPr>
        <w:t>Donde las líneas de bienestar son</w:t>
      </w:r>
      <w:r w:rsidRPr="00E871B0">
        <w:rPr>
          <w:rStyle w:val="Refdenotaalpie"/>
          <w:rFonts w:ascii="Arial" w:hAnsi="Arial" w:cs="Arial"/>
          <w:sz w:val="24"/>
          <w:szCs w:val="24"/>
        </w:rPr>
        <w:footnoteReference w:id="6"/>
      </w:r>
      <w:r w:rsidRPr="00E871B0">
        <w:rPr>
          <w:rFonts w:ascii="Arial" w:hAnsi="Arial" w:cs="Arial"/>
          <w:sz w:val="24"/>
          <w:szCs w:val="24"/>
        </w:rPr>
        <w:t>:</w:t>
      </w:r>
    </w:p>
    <w:p w:rsidR="00DE6326" w:rsidRDefault="00DE6326" w:rsidP="00E63DEF">
      <w:pPr>
        <w:rPr>
          <w:rFonts w:ascii="Arial" w:hAnsi="Arial" w:cs="Arial"/>
          <w:sz w:val="24"/>
          <w:szCs w:val="24"/>
        </w:rPr>
      </w:pPr>
    </w:p>
    <w:tbl>
      <w:tblPr>
        <w:tblW w:w="7500" w:type="dxa"/>
        <w:tblCellMar>
          <w:left w:w="70" w:type="dxa"/>
          <w:right w:w="70" w:type="dxa"/>
        </w:tblCellMar>
        <w:tblLook w:val="04A0" w:firstRow="1" w:lastRow="0" w:firstColumn="1" w:lastColumn="0" w:noHBand="0" w:noVBand="1"/>
      </w:tblPr>
      <w:tblGrid>
        <w:gridCol w:w="1206"/>
        <w:gridCol w:w="1206"/>
        <w:gridCol w:w="190"/>
        <w:gridCol w:w="1207"/>
        <w:gridCol w:w="1207"/>
        <w:gridCol w:w="190"/>
        <w:gridCol w:w="1207"/>
        <w:gridCol w:w="1207"/>
        <w:gridCol w:w="190"/>
      </w:tblGrid>
      <w:tr w:rsidR="00DE6326" w:rsidRPr="00DE6326" w:rsidTr="00DE6326">
        <w:trPr>
          <w:trHeight w:val="630"/>
        </w:trPr>
        <w:tc>
          <w:tcPr>
            <w:tcW w:w="7400" w:type="dxa"/>
            <w:gridSpan w:val="8"/>
            <w:tcBorders>
              <w:top w:val="nil"/>
              <w:left w:val="nil"/>
              <w:bottom w:val="nil"/>
              <w:right w:val="nil"/>
            </w:tcBorders>
            <w:shd w:val="clear" w:color="000000" w:fill="366092"/>
            <w:vAlign w:val="center"/>
            <w:hideMark/>
          </w:tcPr>
          <w:p w:rsidR="00DE6326" w:rsidRPr="00DE6326" w:rsidRDefault="00DE6326" w:rsidP="00DE6326">
            <w:pPr>
              <w:jc w:val="center"/>
              <w:rPr>
                <w:rFonts w:eastAsia="Times New Roman"/>
                <w:b/>
                <w:bCs/>
                <w:color w:val="FFFFFF"/>
                <w:sz w:val="24"/>
                <w:szCs w:val="24"/>
                <w:lang w:eastAsia="es-MX"/>
              </w:rPr>
            </w:pPr>
            <w:r w:rsidRPr="00DE6326">
              <w:rPr>
                <w:rFonts w:eastAsia="Times New Roman"/>
                <w:b/>
                <w:bCs/>
                <w:color w:val="FFFFFF"/>
                <w:sz w:val="24"/>
                <w:szCs w:val="24"/>
                <w:lang w:eastAsia="es-MX"/>
              </w:rPr>
              <w:t>Líneas de Bienestar México a 2017 (julio)</w:t>
            </w:r>
            <w:r w:rsidRPr="00DE6326">
              <w:rPr>
                <w:rFonts w:eastAsia="Times New Roman"/>
                <w:b/>
                <w:bCs/>
                <w:color w:val="FFFFFF"/>
                <w:sz w:val="24"/>
                <w:szCs w:val="24"/>
                <w:lang w:eastAsia="es-MX"/>
              </w:rPr>
              <w:br/>
            </w:r>
            <w:r w:rsidRPr="00DE6326">
              <w:rPr>
                <w:rFonts w:eastAsia="Times New Roman"/>
                <w:color w:val="FFFFFF"/>
                <w:sz w:val="24"/>
                <w:szCs w:val="24"/>
                <w:lang w:eastAsia="es-MX"/>
              </w:rPr>
              <w:t>(valores mensuales por persona a precios corrientes)</w:t>
            </w:r>
          </w:p>
        </w:tc>
        <w:tc>
          <w:tcPr>
            <w:tcW w:w="10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r>
      <w:tr w:rsidR="00DE6326" w:rsidRPr="00DE6326" w:rsidTr="00DE6326">
        <w:trPr>
          <w:trHeight w:val="102"/>
        </w:trPr>
        <w:tc>
          <w:tcPr>
            <w:tcW w:w="1206"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lastRenderedPageBreak/>
              <w:t> </w:t>
            </w:r>
          </w:p>
        </w:tc>
        <w:tc>
          <w:tcPr>
            <w:tcW w:w="1206"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8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207"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207"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8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207"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207"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0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r>
      <w:tr w:rsidR="00DE6326" w:rsidRPr="00DE6326" w:rsidTr="00DE6326">
        <w:trPr>
          <w:trHeight w:val="510"/>
        </w:trPr>
        <w:tc>
          <w:tcPr>
            <w:tcW w:w="1206" w:type="dxa"/>
            <w:vMerge w:val="restart"/>
            <w:tcBorders>
              <w:top w:val="single" w:sz="4" w:space="0" w:color="366092"/>
              <w:left w:val="single" w:sz="4" w:space="0" w:color="366092"/>
              <w:bottom w:val="single" w:sz="4" w:space="0" w:color="000000"/>
              <w:right w:val="single" w:sz="4" w:space="0" w:color="366092"/>
            </w:tcBorders>
            <w:shd w:val="clear" w:color="000000" w:fill="00B050"/>
            <w:vAlign w:val="center"/>
            <w:hideMark/>
          </w:tcPr>
          <w:p w:rsidR="00DE6326" w:rsidRPr="00DE6326" w:rsidRDefault="00DE6326" w:rsidP="00DE6326">
            <w:pPr>
              <w:jc w:val="center"/>
              <w:rPr>
                <w:rFonts w:eastAsia="Times New Roman"/>
                <w:b/>
                <w:bCs/>
                <w:color w:val="FFFFFF"/>
                <w:sz w:val="20"/>
                <w:szCs w:val="20"/>
                <w:lang w:eastAsia="es-MX"/>
              </w:rPr>
            </w:pPr>
            <w:r w:rsidRPr="00DE6326">
              <w:rPr>
                <w:rFonts w:eastAsia="Times New Roman"/>
                <w:b/>
                <w:bCs/>
                <w:color w:val="FFFFFF"/>
                <w:sz w:val="20"/>
                <w:szCs w:val="20"/>
                <w:lang w:eastAsia="es-MX"/>
              </w:rPr>
              <w:t>Año</w:t>
            </w:r>
          </w:p>
        </w:tc>
        <w:tc>
          <w:tcPr>
            <w:tcW w:w="1206" w:type="dxa"/>
            <w:vMerge w:val="restart"/>
            <w:tcBorders>
              <w:top w:val="single" w:sz="4" w:space="0" w:color="366092"/>
              <w:left w:val="single" w:sz="4" w:space="0" w:color="366092"/>
              <w:bottom w:val="single" w:sz="4" w:space="0" w:color="366092"/>
              <w:right w:val="single" w:sz="4" w:space="0" w:color="366092"/>
            </w:tcBorders>
            <w:shd w:val="clear" w:color="000000" w:fill="00B050"/>
            <w:vAlign w:val="center"/>
            <w:hideMark/>
          </w:tcPr>
          <w:p w:rsidR="00DE6326" w:rsidRPr="00DE6326" w:rsidRDefault="00DE6326" w:rsidP="00DE6326">
            <w:pPr>
              <w:jc w:val="center"/>
              <w:rPr>
                <w:rFonts w:eastAsia="Times New Roman"/>
                <w:b/>
                <w:bCs/>
                <w:color w:val="FFFFFF"/>
                <w:sz w:val="20"/>
                <w:szCs w:val="20"/>
                <w:lang w:eastAsia="es-MX"/>
              </w:rPr>
            </w:pPr>
            <w:r w:rsidRPr="00DE6326">
              <w:rPr>
                <w:rFonts w:eastAsia="Times New Roman"/>
                <w:b/>
                <w:bCs/>
                <w:color w:val="FFFFFF"/>
                <w:sz w:val="20"/>
                <w:szCs w:val="20"/>
                <w:lang w:eastAsia="es-MX"/>
              </w:rPr>
              <w:t>Mes</w:t>
            </w:r>
          </w:p>
        </w:tc>
        <w:tc>
          <w:tcPr>
            <w:tcW w:w="8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2414" w:type="dxa"/>
            <w:gridSpan w:val="2"/>
            <w:tcBorders>
              <w:top w:val="single" w:sz="4" w:space="0" w:color="1F497D"/>
              <w:left w:val="single" w:sz="4" w:space="0" w:color="1F497D"/>
              <w:bottom w:val="single" w:sz="4" w:space="0" w:color="1F497D"/>
              <w:right w:val="single" w:sz="4" w:space="0" w:color="1F497D"/>
            </w:tcBorders>
            <w:shd w:val="clear" w:color="000000" w:fill="00B050"/>
            <w:vAlign w:val="center"/>
            <w:hideMark/>
          </w:tcPr>
          <w:p w:rsidR="00DE6326" w:rsidRPr="00DE6326" w:rsidRDefault="00DE6326" w:rsidP="00DE6326">
            <w:pPr>
              <w:jc w:val="center"/>
              <w:rPr>
                <w:rFonts w:eastAsia="Times New Roman"/>
                <w:b/>
                <w:bCs/>
                <w:color w:val="FFFFFF"/>
                <w:sz w:val="20"/>
                <w:szCs w:val="20"/>
                <w:lang w:eastAsia="es-MX"/>
              </w:rPr>
            </w:pPr>
            <w:r w:rsidRPr="00DE6326">
              <w:rPr>
                <w:rFonts w:eastAsia="Times New Roman"/>
                <w:b/>
                <w:bCs/>
                <w:color w:val="FFFFFF"/>
                <w:sz w:val="20"/>
                <w:szCs w:val="20"/>
                <w:lang w:eastAsia="es-MX"/>
              </w:rPr>
              <w:t>Bienestar Mínimo</w:t>
            </w:r>
            <w:r w:rsidRPr="00DE6326">
              <w:rPr>
                <w:rFonts w:eastAsia="Times New Roman"/>
                <w:b/>
                <w:bCs/>
                <w:color w:val="FFFFFF"/>
                <w:sz w:val="20"/>
                <w:szCs w:val="20"/>
                <w:lang w:eastAsia="es-MX"/>
              </w:rPr>
              <w:br/>
            </w:r>
            <w:r w:rsidRPr="00DE6326">
              <w:rPr>
                <w:rFonts w:eastAsia="Times New Roman"/>
                <w:b/>
                <w:bCs/>
                <w:color w:val="FFFFFF"/>
                <w:sz w:val="16"/>
                <w:szCs w:val="16"/>
                <w:lang w:eastAsia="es-MX"/>
              </w:rPr>
              <w:t>(Canasta alimentaria)</w:t>
            </w:r>
          </w:p>
        </w:tc>
        <w:tc>
          <w:tcPr>
            <w:tcW w:w="80" w:type="dxa"/>
            <w:tcBorders>
              <w:top w:val="nil"/>
              <w:left w:val="nil"/>
              <w:bottom w:val="nil"/>
              <w:right w:val="nil"/>
            </w:tcBorders>
            <w:shd w:val="clear" w:color="auto" w:fill="auto"/>
            <w:noWrap/>
            <w:vAlign w:val="bottom"/>
            <w:hideMark/>
          </w:tcPr>
          <w:p w:rsidR="00DE6326" w:rsidRPr="00DE6326" w:rsidRDefault="00DE6326" w:rsidP="00DE6326">
            <w:pPr>
              <w:jc w:val="center"/>
              <w:rPr>
                <w:rFonts w:eastAsia="Times New Roman"/>
                <w:b/>
                <w:bCs/>
                <w:color w:val="FFFFFF"/>
                <w:sz w:val="20"/>
                <w:szCs w:val="20"/>
                <w:lang w:eastAsia="es-MX"/>
              </w:rPr>
            </w:pPr>
          </w:p>
        </w:tc>
        <w:tc>
          <w:tcPr>
            <w:tcW w:w="2414" w:type="dxa"/>
            <w:gridSpan w:val="2"/>
            <w:tcBorders>
              <w:top w:val="single" w:sz="4" w:space="0" w:color="1F497D"/>
              <w:left w:val="single" w:sz="4" w:space="0" w:color="1F497D"/>
              <w:bottom w:val="single" w:sz="4" w:space="0" w:color="1F497D"/>
              <w:right w:val="single" w:sz="4" w:space="0" w:color="1F497D"/>
            </w:tcBorders>
            <w:shd w:val="clear" w:color="000000" w:fill="00B050"/>
            <w:vAlign w:val="center"/>
            <w:hideMark/>
          </w:tcPr>
          <w:p w:rsidR="00DE6326" w:rsidRPr="00DE6326" w:rsidRDefault="00DE6326" w:rsidP="00DE6326">
            <w:pPr>
              <w:jc w:val="center"/>
              <w:rPr>
                <w:rFonts w:eastAsia="Times New Roman"/>
                <w:b/>
                <w:bCs/>
                <w:color w:val="FFFFFF"/>
                <w:sz w:val="20"/>
                <w:szCs w:val="20"/>
                <w:lang w:eastAsia="es-MX"/>
              </w:rPr>
            </w:pPr>
            <w:r w:rsidRPr="00DE6326">
              <w:rPr>
                <w:rFonts w:eastAsia="Times New Roman"/>
                <w:b/>
                <w:bCs/>
                <w:color w:val="FFFFFF"/>
                <w:sz w:val="20"/>
                <w:szCs w:val="20"/>
                <w:lang w:eastAsia="es-MX"/>
              </w:rPr>
              <w:t>Bienestar</w:t>
            </w:r>
            <w:r w:rsidRPr="00DE6326">
              <w:rPr>
                <w:rFonts w:eastAsia="Times New Roman"/>
                <w:b/>
                <w:bCs/>
                <w:color w:val="FFFFFF"/>
                <w:sz w:val="20"/>
                <w:szCs w:val="20"/>
                <w:lang w:eastAsia="es-MX"/>
              </w:rPr>
              <w:br/>
            </w:r>
            <w:r w:rsidRPr="00DE6326">
              <w:rPr>
                <w:rFonts w:eastAsia="Times New Roman"/>
                <w:b/>
                <w:bCs/>
                <w:color w:val="FFFFFF"/>
                <w:sz w:val="16"/>
                <w:szCs w:val="16"/>
                <w:lang w:eastAsia="es-MX"/>
              </w:rPr>
              <w:t>(Alimentaria más no alimentaria)</w:t>
            </w:r>
          </w:p>
        </w:tc>
        <w:tc>
          <w:tcPr>
            <w:tcW w:w="10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r>
      <w:tr w:rsidR="00DE6326" w:rsidRPr="00DE6326" w:rsidTr="00DE6326">
        <w:trPr>
          <w:trHeight w:val="300"/>
        </w:trPr>
        <w:tc>
          <w:tcPr>
            <w:tcW w:w="1206" w:type="dxa"/>
            <w:vMerge/>
            <w:tcBorders>
              <w:top w:val="single" w:sz="4" w:space="0" w:color="366092"/>
              <w:left w:val="single" w:sz="4" w:space="0" w:color="366092"/>
              <w:bottom w:val="single" w:sz="4" w:space="0" w:color="000000"/>
              <w:right w:val="single" w:sz="4" w:space="0" w:color="366092"/>
            </w:tcBorders>
            <w:vAlign w:val="center"/>
            <w:hideMark/>
          </w:tcPr>
          <w:p w:rsidR="00DE6326" w:rsidRPr="00DE6326" w:rsidRDefault="00DE6326" w:rsidP="00DE6326">
            <w:pPr>
              <w:jc w:val="left"/>
              <w:rPr>
                <w:rFonts w:eastAsia="Times New Roman"/>
                <w:b/>
                <w:bCs/>
                <w:color w:val="FFFFFF"/>
                <w:sz w:val="20"/>
                <w:szCs w:val="20"/>
                <w:lang w:eastAsia="es-MX"/>
              </w:rPr>
            </w:pPr>
          </w:p>
        </w:tc>
        <w:tc>
          <w:tcPr>
            <w:tcW w:w="1206" w:type="dxa"/>
            <w:vMerge/>
            <w:tcBorders>
              <w:top w:val="single" w:sz="4" w:space="0" w:color="366092"/>
              <w:left w:val="single" w:sz="4" w:space="0" w:color="366092"/>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FFFFFF"/>
                <w:sz w:val="20"/>
                <w:szCs w:val="20"/>
                <w:lang w:eastAsia="es-MX"/>
              </w:rPr>
            </w:pPr>
          </w:p>
        </w:tc>
        <w:tc>
          <w:tcPr>
            <w:tcW w:w="8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c>
          <w:tcPr>
            <w:tcW w:w="1207" w:type="dxa"/>
            <w:tcBorders>
              <w:top w:val="single" w:sz="4" w:space="0" w:color="366092"/>
              <w:left w:val="single" w:sz="4" w:space="0" w:color="366092"/>
              <w:bottom w:val="single" w:sz="4" w:space="0" w:color="366092"/>
              <w:right w:val="single" w:sz="4" w:space="0" w:color="366092"/>
            </w:tcBorders>
            <w:shd w:val="clear" w:color="000000" w:fill="FFFFFF"/>
            <w:vAlign w:val="center"/>
            <w:hideMark/>
          </w:tcPr>
          <w:p w:rsidR="00DE6326" w:rsidRPr="00DE6326" w:rsidRDefault="00DE6326" w:rsidP="00DE6326">
            <w:pPr>
              <w:jc w:val="center"/>
              <w:rPr>
                <w:rFonts w:eastAsia="Times New Roman"/>
                <w:b/>
                <w:bCs/>
                <w:color w:val="244062"/>
                <w:sz w:val="18"/>
                <w:szCs w:val="18"/>
                <w:lang w:eastAsia="es-MX"/>
              </w:rPr>
            </w:pPr>
            <w:r w:rsidRPr="00DE6326">
              <w:rPr>
                <w:rFonts w:eastAsia="Times New Roman"/>
                <w:b/>
                <w:bCs/>
                <w:color w:val="244062"/>
                <w:sz w:val="18"/>
                <w:szCs w:val="18"/>
                <w:lang w:eastAsia="es-MX"/>
              </w:rPr>
              <w:t xml:space="preserve"> Rural</w:t>
            </w:r>
          </w:p>
        </w:tc>
        <w:tc>
          <w:tcPr>
            <w:tcW w:w="1207" w:type="dxa"/>
            <w:tcBorders>
              <w:top w:val="single" w:sz="4" w:space="0" w:color="366092"/>
              <w:left w:val="nil"/>
              <w:bottom w:val="single" w:sz="4" w:space="0" w:color="366092"/>
              <w:right w:val="single" w:sz="4" w:space="0" w:color="366092"/>
            </w:tcBorders>
            <w:shd w:val="clear" w:color="000000" w:fill="FFFFFF"/>
            <w:vAlign w:val="center"/>
            <w:hideMark/>
          </w:tcPr>
          <w:p w:rsidR="00DE6326" w:rsidRPr="00DE6326" w:rsidRDefault="00DE6326" w:rsidP="00DE6326">
            <w:pPr>
              <w:jc w:val="center"/>
              <w:rPr>
                <w:rFonts w:eastAsia="Times New Roman"/>
                <w:b/>
                <w:bCs/>
                <w:color w:val="244062"/>
                <w:sz w:val="18"/>
                <w:szCs w:val="18"/>
                <w:lang w:eastAsia="es-MX"/>
              </w:rPr>
            </w:pPr>
            <w:r w:rsidRPr="00DE6326">
              <w:rPr>
                <w:rFonts w:eastAsia="Times New Roman"/>
                <w:b/>
                <w:bCs/>
                <w:color w:val="244062"/>
                <w:sz w:val="18"/>
                <w:szCs w:val="18"/>
                <w:lang w:eastAsia="es-MX"/>
              </w:rPr>
              <w:t>Urbano</w:t>
            </w:r>
          </w:p>
        </w:tc>
        <w:tc>
          <w:tcPr>
            <w:tcW w:w="80" w:type="dxa"/>
            <w:tcBorders>
              <w:top w:val="nil"/>
              <w:left w:val="nil"/>
              <w:bottom w:val="nil"/>
              <w:right w:val="nil"/>
            </w:tcBorders>
            <w:shd w:val="clear" w:color="auto" w:fill="auto"/>
            <w:noWrap/>
            <w:vAlign w:val="bottom"/>
            <w:hideMark/>
          </w:tcPr>
          <w:p w:rsidR="00DE6326" w:rsidRPr="00DE6326" w:rsidRDefault="00DE6326" w:rsidP="00DE6326">
            <w:pPr>
              <w:jc w:val="center"/>
              <w:rPr>
                <w:rFonts w:eastAsia="Times New Roman"/>
                <w:b/>
                <w:bCs/>
                <w:color w:val="244062"/>
                <w:sz w:val="18"/>
                <w:szCs w:val="18"/>
                <w:lang w:eastAsia="es-MX"/>
              </w:rPr>
            </w:pPr>
          </w:p>
        </w:tc>
        <w:tc>
          <w:tcPr>
            <w:tcW w:w="1207" w:type="dxa"/>
            <w:tcBorders>
              <w:top w:val="single" w:sz="4" w:space="0" w:color="366092"/>
              <w:left w:val="single" w:sz="4" w:space="0" w:color="366092"/>
              <w:bottom w:val="single" w:sz="4" w:space="0" w:color="366092"/>
              <w:right w:val="single" w:sz="4" w:space="0" w:color="366092"/>
            </w:tcBorders>
            <w:shd w:val="clear" w:color="000000" w:fill="FFFFFF"/>
            <w:vAlign w:val="center"/>
            <w:hideMark/>
          </w:tcPr>
          <w:p w:rsidR="00DE6326" w:rsidRPr="00DE6326" w:rsidRDefault="00DE6326" w:rsidP="00DE6326">
            <w:pPr>
              <w:jc w:val="center"/>
              <w:rPr>
                <w:rFonts w:eastAsia="Times New Roman"/>
                <w:b/>
                <w:bCs/>
                <w:color w:val="244062"/>
                <w:sz w:val="18"/>
                <w:szCs w:val="18"/>
                <w:lang w:eastAsia="es-MX"/>
              </w:rPr>
            </w:pPr>
            <w:r w:rsidRPr="00DE6326">
              <w:rPr>
                <w:rFonts w:eastAsia="Times New Roman"/>
                <w:b/>
                <w:bCs/>
                <w:color w:val="244062"/>
                <w:sz w:val="18"/>
                <w:szCs w:val="18"/>
                <w:lang w:eastAsia="es-MX"/>
              </w:rPr>
              <w:t xml:space="preserve"> Rural</w:t>
            </w:r>
          </w:p>
        </w:tc>
        <w:tc>
          <w:tcPr>
            <w:tcW w:w="1207" w:type="dxa"/>
            <w:tcBorders>
              <w:top w:val="single" w:sz="4" w:space="0" w:color="366092"/>
              <w:left w:val="nil"/>
              <w:bottom w:val="single" w:sz="4" w:space="0" w:color="366092"/>
              <w:right w:val="single" w:sz="4" w:space="0" w:color="366092"/>
            </w:tcBorders>
            <w:shd w:val="clear" w:color="000000" w:fill="FFFFFF"/>
            <w:vAlign w:val="center"/>
            <w:hideMark/>
          </w:tcPr>
          <w:p w:rsidR="00DE6326" w:rsidRPr="00DE6326" w:rsidRDefault="00DE6326" w:rsidP="00DE6326">
            <w:pPr>
              <w:jc w:val="center"/>
              <w:rPr>
                <w:rFonts w:eastAsia="Times New Roman"/>
                <w:b/>
                <w:bCs/>
                <w:color w:val="244062"/>
                <w:sz w:val="18"/>
                <w:szCs w:val="18"/>
                <w:lang w:eastAsia="es-MX"/>
              </w:rPr>
            </w:pPr>
            <w:r w:rsidRPr="00DE6326">
              <w:rPr>
                <w:rFonts w:eastAsia="Times New Roman"/>
                <w:b/>
                <w:bCs/>
                <w:color w:val="244062"/>
                <w:sz w:val="18"/>
                <w:szCs w:val="18"/>
                <w:lang w:eastAsia="es-MX"/>
              </w:rPr>
              <w:t>Urbano</w:t>
            </w:r>
          </w:p>
        </w:tc>
        <w:tc>
          <w:tcPr>
            <w:tcW w:w="100" w:type="dxa"/>
            <w:tcBorders>
              <w:top w:val="nil"/>
              <w:left w:val="nil"/>
              <w:bottom w:val="nil"/>
              <w:right w:val="nil"/>
            </w:tcBorders>
            <w:shd w:val="clear" w:color="000000" w:fill="FFFFFF"/>
            <w:noWrap/>
            <w:vAlign w:val="bottom"/>
            <w:hideMark/>
          </w:tcPr>
          <w:p w:rsidR="00DE6326" w:rsidRPr="00DE6326" w:rsidRDefault="00DE6326" w:rsidP="00DE6326">
            <w:pPr>
              <w:jc w:val="left"/>
              <w:rPr>
                <w:rFonts w:eastAsia="Times New Roman"/>
                <w:color w:val="000000"/>
                <w:lang w:eastAsia="es-MX"/>
              </w:rPr>
            </w:pPr>
            <w:r w:rsidRPr="00DE6326">
              <w:rPr>
                <w:rFonts w:eastAsia="Times New Roman"/>
                <w:color w:val="000000"/>
                <w:lang w:eastAsia="es-MX"/>
              </w:rPr>
              <w:t> </w:t>
            </w:r>
          </w:p>
        </w:tc>
      </w:tr>
    </w:tbl>
    <w:p w:rsidR="00E63DEF" w:rsidRPr="00E871B0" w:rsidRDefault="00E63DEF" w:rsidP="00E63DEF">
      <w:pPr>
        <w:rPr>
          <w:rFonts w:ascii="Arial" w:eastAsiaTheme="minorHAnsi" w:hAnsi="Arial" w:cs="Arial"/>
          <w:sz w:val="24"/>
          <w:szCs w:val="24"/>
        </w:rPr>
      </w:pPr>
      <w:r w:rsidRPr="00E871B0">
        <w:rPr>
          <w:rFonts w:ascii="Arial" w:hAnsi="Arial" w:cs="Arial"/>
          <w:sz w:val="24"/>
          <w:szCs w:val="24"/>
        </w:rPr>
        <w:fldChar w:fldCharType="begin"/>
      </w:r>
      <w:r w:rsidRPr="00E871B0">
        <w:rPr>
          <w:rFonts w:ascii="Arial" w:hAnsi="Arial" w:cs="Arial"/>
          <w:sz w:val="24"/>
          <w:szCs w:val="24"/>
        </w:rPr>
        <w:instrText xml:space="preserve"> LINK Excel.Sheet.12 "C:\\Users\\SAMSUNG\\AppData\\Local\\Temp\\Rar$DIa0.660\\Lineas_Bienestar_junio2016.xlsx" " Líneas de bienestar!F2C2:F304C9" \a \f 4 \h  \* MERGEFORMAT </w:instrText>
      </w:r>
      <w:r w:rsidRPr="00E871B0">
        <w:rPr>
          <w:rFonts w:ascii="Arial" w:hAnsi="Arial" w:cs="Arial"/>
          <w:sz w:val="24"/>
          <w:szCs w:val="24"/>
        </w:rPr>
        <w:fldChar w:fldCharType="separate"/>
      </w:r>
    </w:p>
    <w:tbl>
      <w:tblPr>
        <w:tblW w:w="7400" w:type="dxa"/>
        <w:tblCellMar>
          <w:left w:w="70" w:type="dxa"/>
          <w:right w:w="70" w:type="dxa"/>
        </w:tblCellMar>
        <w:tblLook w:val="04A0" w:firstRow="1" w:lastRow="0" w:firstColumn="1" w:lastColumn="0" w:noHBand="0" w:noVBand="1"/>
      </w:tblPr>
      <w:tblGrid>
        <w:gridCol w:w="1200"/>
        <w:gridCol w:w="1200"/>
        <w:gridCol w:w="146"/>
        <w:gridCol w:w="1200"/>
        <w:gridCol w:w="1200"/>
        <w:gridCol w:w="146"/>
        <w:gridCol w:w="1200"/>
        <w:gridCol w:w="1200"/>
      </w:tblGrid>
      <w:tr w:rsidR="00DE6326" w:rsidRPr="00DE6326" w:rsidTr="00DE6326">
        <w:trPr>
          <w:trHeight w:val="225"/>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E6326" w:rsidRPr="00DE6326" w:rsidRDefault="00DE6326" w:rsidP="00DE6326">
            <w:pPr>
              <w:jc w:val="center"/>
              <w:rPr>
                <w:rFonts w:ascii="Arial" w:eastAsia="Times New Roman" w:hAnsi="Arial" w:cs="Arial"/>
                <w:b/>
                <w:bCs/>
                <w:color w:val="244062"/>
                <w:sz w:val="16"/>
                <w:szCs w:val="16"/>
                <w:lang w:eastAsia="es-MX"/>
              </w:rPr>
            </w:pPr>
            <w:r w:rsidRPr="00DE6326">
              <w:rPr>
                <w:rFonts w:ascii="Arial" w:eastAsia="Times New Roman" w:hAnsi="Arial" w:cs="Arial"/>
                <w:b/>
                <w:bCs/>
                <w:color w:val="244062"/>
                <w:sz w:val="16"/>
                <w:szCs w:val="16"/>
                <w:lang w:eastAsia="es-MX"/>
              </w:rPr>
              <w:t>2015</w:t>
            </w:r>
          </w:p>
        </w:tc>
        <w:tc>
          <w:tcPr>
            <w:tcW w:w="1200" w:type="dxa"/>
            <w:tcBorders>
              <w:top w:val="single" w:sz="4" w:space="0" w:color="366092"/>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Ene</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single" w:sz="4" w:space="0" w:color="366092"/>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$897.30</w:t>
            </w:r>
          </w:p>
        </w:tc>
        <w:tc>
          <w:tcPr>
            <w:tcW w:w="1200" w:type="dxa"/>
            <w:tcBorders>
              <w:top w:val="single" w:sz="4" w:space="0" w:color="366092"/>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$1,265.85</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single" w:sz="4" w:space="0" w:color="366092"/>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$1,667.90</w:t>
            </w:r>
          </w:p>
        </w:tc>
        <w:tc>
          <w:tcPr>
            <w:tcW w:w="1200" w:type="dxa"/>
            <w:tcBorders>
              <w:top w:val="single" w:sz="4" w:space="0" w:color="366092"/>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$2,601.64</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Feb</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$887.58</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$1,256.67</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$1,661.54</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$2,598.33</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Mar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$903.70</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$1,271.10</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$1,679.32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$2,615.15</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Abr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$907.22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$1,273.09</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$1,676.92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$2,605.32</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May</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$898.00</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$1,264.49</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$1,657.25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$2,577.19</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Jun</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$898.78</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$1,267.68</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$1,658.58</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$2,581.46</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Jul</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$906.07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$1,275.08</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$1,666.16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$2,589.54</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Ago</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$910.28</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$1,281.24</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$1,673.52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$2,600.79</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Sep</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$917.45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$1,290.21</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$1,685.50</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$2,618.55</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Oct</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$920.25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$1,295.01</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$1,697.39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$2,639.65</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Nov</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$920.69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$1,297.65</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$1,708.91</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$2,661.56</w:t>
            </w:r>
          </w:p>
        </w:tc>
      </w:tr>
      <w:tr w:rsidR="00DE6326" w:rsidRPr="00DE6326" w:rsidTr="00DE6326">
        <w:trPr>
          <w:trHeight w:val="225"/>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Dic</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$938.01</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$1,315.06</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$1,727.04</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$2,679.31</w:t>
            </w:r>
          </w:p>
        </w:tc>
      </w:tr>
      <w:tr w:rsidR="00DE6326" w:rsidRPr="00DE6326" w:rsidTr="00DE6326">
        <w:trPr>
          <w:trHeight w:val="225"/>
        </w:trPr>
        <w:tc>
          <w:tcPr>
            <w:tcW w:w="1200" w:type="dxa"/>
            <w:vMerge w:val="restart"/>
            <w:tcBorders>
              <w:top w:val="nil"/>
              <w:left w:val="single" w:sz="4" w:space="0" w:color="auto"/>
              <w:bottom w:val="nil"/>
              <w:right w:val="single" w:sz="4" w:space="0" w:color="auto"/>
            </w:tcBorders>
            <w:shd w:val="clear" w:color="000000" w:fill="FFFFFF"/>
            <w:vAlign w:val="center"/>
            <w:hideMark/>
          </w:tcPr>
          <w:p w:rsidR="00DE6326" w:rsidRPr="00DE6326" w:rsidRDefault="00DE6326" w:rsidP="00DE6326">
            <w:pPr>
              <w:jc w:val="center"/>
              <w:rPr>
                <w:rFonts w:ascii="Arial" w:eastAsia="Times New Roman" w:hAnsi="Arial" w:cs="Arial"/>
                <w:b/>
                <w:bCs/>
                <w:color w:val="244062"/>
                <w:sz w:val="16"/>
                <w:szCs w:val="16"/>
                <w:lang w:eastAsia="es-MX"/>
              </w:rPr>
            </w:pPr>
            <w:r w:rsidRPr="00DE6326">
              <w:rPr>
                <w:rFonts w:ascii="Arial" w:eastAsia="Times New Roman" w:hAnsi="Arial" w:cs="Arial"/>
                <w:b/>
                <w:bCs/>
                <w:color w:val="244062"/>
                <w:sz w:val="16"/>
                <w:szCs w:val="16"/>
                <w:lang w:eastAsia="es-MX"/>
              </w:rPr>
              <w:t>2016</w:t>
            </w: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Ene</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$956.16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$1,333.69</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$1,747.19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$2,701.82</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Feb</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$963.11</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$1,343.22</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$1,757.85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$2,717.10</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Mar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$959.72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$1,338.86</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$1,755.57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$2,714.66</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Abr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$955.46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$1,335.18</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$1,741.25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$2,690.65</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May</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$948.06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$1,330.31</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$1,720.77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$2,660.46</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Jun</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$937.96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$1,322.61</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$1,711.41</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$2,653.84</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Jul</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$935.66</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$1,321.24</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$1,716.39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$2,667.94</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Ago</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$933.20</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$1,310.94</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$1,715.57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$2,660.40</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Sep</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$959.59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$1,339.39</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$1,745.07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$2,694.97</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Oct</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$963.17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$1,346.46</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$1,757.50</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$2,717.81</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Nov</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$969.53</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$1,355.72</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$1,775.63</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$2,748.64</w:t>
            </w:r>
          </w:p>
        </w:tc>
      </w:tr>
      <w:tr w:rsidR="00DE6326" w:rsidRPr="00DE6326" w:rsidTr="00DE6326">
        <w:trPr>
          <w:trHeight w:val="225"/>
        </w:trPr>
        <w:tc>
          <w:tcPr>
            <w:tcW w:w="1200" w:type="dxa"/>
            <w:vMerge/>
            <w:tcBorders>
              <w:top w:val="nil"/>
              <w:left w:val="single" w:sz="4" w:space="0" w:color="auto"/>
              <w:bottom w:val="nil"/>
              <w:right w:val="single" w:sz="4" w:space="0" w:color="auto"/>
            </w:tcBorders>
            <w:vAlign w:val="center"/>
            <w:hideMark/>
          </w:tcPr>
          <w:p w:rsidR="00DE6326" w:rsidRPr="00DE6326" w:rsidRDefault="00DE6326" w:rsidP="00DE6326">
            <w:pPr>
              <w:jc w:val="left"/>
              <w:rPr>
                <w:rFonts w:ascii="Arial" w:eastAsia="Times New Roman" w:hAnsi="Arial" w:cs="Arial"/>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Dic</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$979.42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$1,369.67</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$1,787.15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$2,764.79</w:t>
            </w:r>
          </w:p>
        </w:tc>
      </w:tr>
      <w:tr w:rsidR="00DE6326" w:rsidRPr="00DE6326" w:rsidTr="00DE6326">
        <w:trPr>
          <w:trHeight w:val="225"/>
        </w:trPr>
        <w:tc>
          <w:tcPr>
            <w:tcW w:w="1200" w:type="dxa"/>
            <w:vMerge w:val="restart"/>
            <w:tcBorders>
              <w:top w:val="single" w:sz="4" w:space="0" w:color="366092"/>
              <w:left w:val="nil"/>
              <w:bottom w:val="single" w:sz="4" w:space="0" w:color="366092"/>
              <w:right w:val="single" w:sz="4" w:space="0" w:color="366092"/>
            </w:tcBorders>
            <w:shd w:val="clear" w:color="000000" w:fill="FFFFFF"/>
            <w:noWrap/>
            <w:vAlign w:val="center"/>
            <w:hideMark/>
          </w:tcPr>
          <w:p w:rsidR="00DE6326" w:rsidRPr="00DE6326" w:rsidRDefault="00DE6326" w:rsidP="00DE6326">
            <w:pPr>
              <w:jc w:val="center"/>
              <w:rPr>
                <w:rFonts w:eastAsia="Times New Roman"/>
                <w:b/>
                <w:bCs/>
                <w:color w:val="244062"/>
                <w:sz w:val="16"/>
                <w:szCs w:val="16"/>
                <w:lang w:eastAsia="es-MX"/>
              </w:rPr>
            </w:pPr>
            <w:r w:rsidRPr="00DE6326">
              <w:rPr>
                <w:rFonts w:eastAsia="Times New Roman"/>
                <w:b/>
                <w:bCs/>
                <w:color w:val="244062"/>
                <w:sz w:val="16"/>
                <w:szCs w:val="16"/>
                <w:lang w:eastAsia="es-MX"/>
              </w:rPr>
              <w:t>2017</w:t>
            </w: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Ene</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$975.64</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$1,371.66</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$1,795.62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$2,786.45</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Feb</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$970.51</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$1,373.09</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$1,797.65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$2,799.64</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Mar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$981.65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$1,386.10</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$1,813.39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$2,819.88</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Abr</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$994.85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$1,400.27</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$1,821.07</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$2,822.69</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roofErr w:type="spellStart"/>
            <w:r w:rsidRPr="00DE6326">
              <w:rPr>
                <w:rFonts w:eastAsia="Times New Roman"/>
                <w:b/>
                <w:bCs/>
                <w:color w:val="244062"/>
                <w:sz w:val="16"/>
                <w:szCs w:val="16"/>
                <w:lang w:eastAsia="es-MX"/>
              </w:rPr>
              <w:t>May</w:t>
            </w:r>
            <w:proofErr w:type="spellEnd"/>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$1,002.98</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$1,408.28</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$1,823.23</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$2,817.47</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Jun</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$1,014.15</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$1,422.25</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$1,835.93</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$2,834.29</w:t>
            </w:r>
          </w:p>
        </w:tc>
      </w:tr>
      <w:tr w:rsidR="00DE6326" w:rsidRPr="00DE6326" w:rsidTr="00DE6326">
        <w:trPr>
          <w:trHeight w:val="225"/>
        </w:trPr>
        <w:tc>
          <w:tcPr>
            <w:tcW w:w="1200" w:type="dxa"/>
            <w:vMerge/>
            <w:tcBorders>
              <w:top w:val="single" w:sz="4" w:space="0" w:color="366092"/>
              <w:left w:val="nil"/>
              <w:bottom w:val="single" w:sz="4" w:space="0" w:color="366092"/>
              <w:right w:val="single" w:sz="4" w:space="0" w:color="366092"/>
            </w:tcBorders>
            <w:vAlign w:val="center"/>
            <w:hideMark/>
          </w:tcPr>
          <w:p w:rsidR="00DE6326" w:rsidRPr="00DE6326" w:rsidRDefault="00DE6326" w:rsidP="00DE6326">
            <w:pPr>
              <w:jc w:val="left"/>
              <w:rPr>
                <w:rFonts w:eastAsia="Times New Roman"/>
                <w:b/>
                <w:bCs/>
                <w:color w:val="244062"/>
                <w:sz w:val="16"/>
                <w:szCs w:val="16"/>
                <w:lang w:eastAsia="es-MX"/>
              </w:rPr>
            </w:pPr>
          </w:p>
        </w:tc>
        <w:tc>
          <w:tcPr>
            <w:tcW w:w="1200" w:type="dxa"/>
            <w:tcBorders>
              <w:top w:val="nil"/>
              <w:left w:val="nil"/>
              <w:bottom w:val="single" w:sz="4" w:space="0" w:color="366092"/>
              <w:right w:val="single" w:sz="4" w:space="0" w:color="366092"/>
            </w:tcBorders>
            <w:shd w:val="clear" w:color="000000" w:fill="FFFFFF"/>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r w:rsidRPr="00DE6326">
              <w:rPr>
                <w:rFonts w:eastAsia="Times New Roman"/>
                <w:b/>
                <w:bCs/>
                <w:color w:val="244062"/>
                <w:sz w:val="16"/>
                <w:szCs w:val="16"/>
                <w:lang w:eastAsia="es-MX"/>
              </w:rPr>
              <w:t>Jul</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ind w:firstLineChars="300" w:firstLine="482"/>
              <w:jc w:val="left"/>
              <w:rPr>
                <w:rFonts w:eastAsia="Times New Roman"/>
                <w:b/>
                <w:bCs/>
                <w:color w:val="244062"/>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$1,035.59</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$1,446.51</w:t>
            </w:r>
          </w:p>
        </w:tc>
        <w:tc>
          <w:tcPr>
            <w:tcW w:w="100" w:type="dxa"/>
            <w:tcBorders>
              <w:top w:val="nil"/>
              <w:left w:val="nil"/>
              <w:bottom w:val="nil"/>
              <w:right w:val="nil"/>
            </w:tcBorders>
            <w:shd w:val="clear" w:color="auto" w:fill="auto"/>
            <w:noWrap/>
            <w:vAlign w:val="bottom"/>
            <w:hideMark/>
          </w:tcPr>
          <w:p w:rsidR="00DE6326" w:rsidRPr="00DE6326" w:rsidRDefault="00DE6326" w:rsidP="00DE6326">
            <w:pPr>
              <w:jc w:val="right"/>
              <w:rPr>
                <w:rFonts w:eastAsia="Times New Roman"/>
                <w:sz w:val="16"/>
                <w:szCs w:val="16"/>
                <w:lang w:eastAsia="es-MX"/>
              </w:rPr>
            </w:pPr>
          </w:p>
        </w:tc>
        <w:tc>
          <w:tcPr>
            <w:tcW w:w="1200" w:type="dxa"/>
            <w:tcBorders>
              <w:top w:val="nil"/>
              <w:left w:val="single" w:sz="4" w:space="0" w:color="366092"/>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$1,856.62</w:t>
            </w:r>
          </w:p>
        </w:tc>
        <w:tc>
          <w:tcPr>
            <w:tcW w:w="1200" w:type="dxa"/>
            <w:tcBorders>
              <w:top w:val="nil"/>
              <w:left w:val="nil"/>
              <w:bottom w:val="single" w:sz="4" w:space="0" w:color="366092"/>
              <w:right w:val="single" w:sz="4" w:space="0" w:color="366092"/>
            </w:tcBorders>
            <w:shd w:val="clear" w:color="auto" w:fill="auto"/>
            <w:noWrap/>
            <w:vAlign w:val="bottom"/>
            <w:hideMark/>
          </w:tcPr>
          <w:p w:rsidR="00DE6326" w:rsidRPr="00DE6326" w:rsidRDefault="00DE6326" w:rsidP="00DE6326">
            <w:pPr>
              <w:jc w:val="right"/>
              <w:rPr>
                <w:rFonts w:eastAsia="Times New Roman"/>
                <w:sz w:val="16"/>
                <w:szCs w:val="16"/>
                <w:lang w:eastAsia="es-MX"/>
              </w:rPr>
            </w:pPr>
            <w:r w:rsidRPr="00DE6326">
              <w:rPr>
                <w:rFonts w:eastAsia="Times New Roman"/>
                <w:sz w:val="16"/>
                <w:szCs w:val="16"/>
                <w:lang w:eastAsia="es-MX"/>
              </w:rPr>
              <w:t>$2,857.65</w:t>
            </w:r>
          </w:p>
        </w:tc>
      </w:tr>
    </w:tbl>
    <w:p w:rsidR="00DE6326" w:rsidRDefault="00DE6326" w:rsidP="00E63DEF">
      <w:pPr>
        <w:rPr>
          <w:rFonts w:ascii="Arial" w:hAnsi="Arial" w:cs="Arial"/>
          <w:sz w:val="24"/>
          <w:szCs w:val="24"/>
        </w:rPr>
      </w:pPr>
    </w:p>
    <w:p w:rsidR="00E63DEF" w:rsidRPr="00E871B0" w:rsidRDefault="00E63DEF" w:rsidP="00E63DEF">
      <w:pPr>
        <w:rPr>
          <w:rFonts w:ascii="Arial" w:hAnsi="Arial" w:cs="Arial"/>
          <w:sz w:val="24"/>
          <w:szCs w:val="24"/>
        </w:rPr>
      </w:pPr>
      <w:r w:rsidRPr="00E871B0">
        <w:rPr>
          <w:rFonts w:ascii="Arial" w:hAnsi="Arial" w:cs="Arial"/>
          <w:sz w:val="24"/>
          <w:szCs w:val="24"/>
        </w:rPr>
        <w:fldChar w:fldCharType="end"/>
      </w:r>
    </w:p>
    <w:p w:rsidR="00E63DEF" w:rsidRPr="00E871B0" w:rsidRDefault="00E63DEF" w:rsidP="00E63DEF">
      <w:pPr>
        <w:rPr>
          <w:rFonts w:ascii="Arial" w:hAnsi="Arial" w:cs="Arial"/>
          <w:sz w:val="24"/>
          <w:szCs w:val="24"/>
        </w:rPr>
      </w:pPr>
      <w:r w:rsidRPr="00E871B0">
        <w:rPr>
          <w:rFonts w:ascii="Arial" w:hAnsi="Arial" w:cs="Arial"/>
          <w:sz w:val="24"/>
          <w:szCs w:val="24"/>
        </w:rPr>
        <w:t xml:space="preserve"> Y las carencias sociales son:</w:t>
      </w:r>
    </w:p>
    <w:p w:rsidR="00E63DEF" w:rsidRPr="00E871B0" w:rsidRDefault="00E63DEF" w:rsidP="00E63DEF">
      <w:pPr>
        <w:rPr>
          <w:rFonts w:ascii="Arial" w:hAnsi="Arial" w:cs="Arial"/>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LINEAMIENTOS y criterios generales para la definición, identificación y medición de la pobreza.</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De las Carencias Sociales</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DECIMO CUARTO.- Las dependencias y entidades que utilicen el criterio establecido en la fracción II del lineamiento Noveno para identificar a las personas o grupos de personas en situación de pobreza deberán considerar en sus métodos de identificación al menos uno de los siguientes criterios o una combinación de los mismos:</w:t>
      </w:r>
    </w:p>
    <w:p w:rsidR="00E63DEF" w:rsidRPr="00E871B0"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lastRenderedPageBreak/>
        <w:t>I.- En materia de rezago educativo:</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a)    Población de 3 a 15 años que no cuenta con la educación secundaria terminada y no asiste a la escuela.</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b)    Población nacida hasta 1981 que no cuenta con la educación primaria terminada.</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c)    Población nacida a partir de 1982 que no cuenta con la educación secundaria terminada.</w:t>
      </w:r>
    </w:p>
    <w:p w:rsidR="00E63DEF" w:rsidRPr="002D27B3"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t>II.- En materia de acceso a los servicios de salud:</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a)    Población no afiliada o inscrita para recibir servicios de salud por parte del Seguro Popular, y que tampoco es derechohabiente de alguna institución de seguridad social.</w:t>
      </w:r>
    </w:p>
    <w:p w:rsidR="00E63DEF" w:rsidRPr="002D27B3"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t>III.- En materia de acceso a la seguridad social:</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a)    Población ocupada y asalariada que no recibe por parte de su trabajo las prestaciones de servicios médicos, incapacidad con goce de sueldo y SAR o Afore.</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b)    Población ocupada y no asalariada que no recibe como prestación laboral o por contratación propia servicios médicos por parte de una institución pública de Seguridad Social y SAR o Afore.</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c)    Población sin acceso a la seguridad social por alguno de los primeros dos criterios, que no goce de alguna jubilación o pensión, ni sea familiar directo de una persona dentro o fuera del hogar con acceso a la seguridad social.</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d)    Población de 65 años o más que no dispone de acceso a la seguridad social por alguno de los criterios anteriores ni es beneficiario de algún programa social de pensiones para adultos mayores.</w:t>
      </w:r>
    </w:p>
    <w:p w:rsidR="00E63DEF" w:rsidRPr="002D27B3"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t>IV.- En materia de calidad y espacios de la vivienda, la población que resida en viviendas con al menos una de las siguientes características:</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a)    El material de la mayor parte de los pisos es tierra.</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b)    El material de la mayor parte del techo es lámina de cartón o desechos.</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c)    El material de la mayor parte de los muros es embarro o bajareque; carrizo, bambú o palma; lámina de cartón, metálica o de asbesto; o material de desecho.</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d)    Con hacinamiento.</w:t>
      </w:r>
    </w:p>
    <w:p w:rsidR="00E63DEF" w:rsidRPr="002D27B3"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t>V.- En materia de acceso a los servicios básicos en la vivienda, la población que resida en viviendas con al menos una de las siguientes características:</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a)    El agua se obtiene de un pozo, río, lago, arroyo, pipa, o bien, el agua entubada la obtienen por acarreo de otra vivienda, o de la llave pública o hidrante.</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b)    No disponen de drenaje, o el desagüe tiene conexión a una tubería que va a dar a un río, lago, mar, barranca o grieta.</w:t>
      </w:r>
    </w:p>
    <w:p w:rsidR="00E63DEF" w:rsidRPr="002D27B3" w:rsidRDefault="00E63DEF" w:rsidP="00E63DEF">
      <w:pPr>
        <w:ind w:left="708"/>
        <w:rPr>
          <w:rFonts w:ascii="Arial" w:hAnsi="Arial" w:cs="Arial"/>
          <w:i/>
          <w:sz w:val="24"/>
          <w:szCs w:val="24"/>
        </w:rPr>
      </w:pPr>
      <w:r w:rsidRPr="002D27B3">
        <w:rPr>
          <w:rFonts w:ascii="Arial" w:hAnsi="Arial" w:cs="Arial"/>
          <w:i/>
          <w:sz w:val="24"/>
          <w:szCs w:val="24"/>
        </w:rPr>
        <w:t>c)    No disponen de energía eléctrica.</w:t>
      </w:r>
    </w:p>
    <w:p w:rsidR="00E63DEF" w:rsidRPr="002D27B3" w:rsidRDefault="00E63DEF" w:rsidP="00E63DEF">
      <w:pPr>
        <w:ind w:left="708"/>
        <w:rPr>
          <w:rFonts w:ascii="Arial" w:hAnsi="Arial" w:cs="Arial"/>
          <w:i/>
          <w:sz w:val="24"/>
          <w:szCs w:val="24"/>
        </w:rPr>
      </w:pPr>
    </w:p>
    <w:p w:rsidR="00E63DEF" w:rsidRPr="002D27B3" w:rsidRDefault="00E63DEF" w:rsidP="00E63DEF">
      <w:pPr>
        <w:ind w:left="708"/>
        <w:rPr>
          <w:rFonts w:ascii="Arial" w:hAnsi="Arial" w:cs="Arial"/>
          <w:i/>
          <w:sz w:val="24"/>
          <w:szCs w:val="24"/>
        </w:rPr>
      </w:pPr>
      <w:r w:rsidRPr="002D27B3">
        <w:rPr>
          <w:rFonts w:ascii="Arial" w:hAnsi="Arial" w:cs="Arial"/>
          <w:i/>
          <w:sz w:val="24"/>
          <w:szCs w:val="24"/>
        </w:rPr>
        <w:t>VI.- En materia de acceso a la alimentación:</w:t>
      </w:r>
    </w:p>
    <w:p w:rsidR="00E63DEF" w:rsidRPr="00E871B0" w:rsidRDefault="00E63DEF" w:rsidP="00E63DEF">
      <w:pPr>
        <w:ind w:left="708"/>
        <w:rPr>
          <w:rFonts w:ascii="Arial" w:hAnsi="Arial" w:cs="Arial"/>
          <w:i/>
          <w:sz w:val="24"/>
          <w:szCs w:val="24"/>
        </w:rPr>
      </w:pPr>
      <w:r w:rsidRPr="00E871B0">
        <w:rPr>
          <w:rFonts w:ascii="Arial" w:hAnsi="Arial" w:cs="Arial"/>
          <w:i/>
          <w:sz w:val="24"/>
          <w:szCs w:val="24"/>
        </w:rPr>
        <w:lastRenderedPageBreak/>
        <w:t>a)    Población en hogares con un grado de inseguridad alimentaria moderado o severo.</w:t>
      </w:r>
    </w:p>
    <w:p w:rsidR="00E63DEF" w:rsidRPr="00E871B0" w:rsidRDefault="00E63DEF" w:rsidP="00E63DEF">
      <w:pPr>
        <w:rPr>
          <w:rFonts w:ascii="Arial" w:hAnsi="Arial" w:cs="Arial"/>
          <w:sz w:val="24"/>
          <w:szCs w:val="24"/>
        </w:rPr>
      </w:pPr>
    </w:p>
    <w:p w:rsidR="00E63DEF" w:rsidRPr="00E871B0" w:rsidRDefault="00E63DEF" w:rsidP="00E63DEF">
      <w:pPr>
        <w:rPr>
          <w:rFonts w:ascii="Arial" w:hAnsi="Arial" w:cs="Arial"/>
          <w:sz w:val="24"/>
          <w:szCs w:val="24"/>
        </w:rPr>
      </w:pPr>
      <w:r w:rsidRPr="00E871B0">
        <w:rPr>
          <w:rFonts w:ascii="Arial" w:hAnsi="Arial" w:cs="Arial"/>
          <w:sz w:val="24"/>
          <w:szCs w:val="24"/>
        </w:rPr>
        <w:t>Por tanto se propone el texto siguiente:</w:t>
      </w:r>
    </w:p>
    <w:p w:rsidR="00E63DEF" w:rsidRPr="00E871B0" w:rsidRDefault="00E63DEF" w:rsidP="00E63DEF">
      <w:pPr>
        <w:rPr>
          <w:rFonts w:ascii="Arial" w:hAnsi="Arial" w:cs="Arial"/>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hAnsi="Arial" w:cs="Arial"/>
          <w:i/>
          <w:sz w:val="24"/>
          <w:szCs w:val="24"/>
          <w:lang w:eastAsia="es-MX"/>
        </w:rPr>
        <w:t>“</w:t>
      </w:r>
      <w:r w:rsidRPr="00E871B0">
        <w:rPr>
          <w:rFonts w:ascii="Arial" w:eastAsia="Times New Roman" w:hAnsi="Arial" w:cs="Arial"/>
          <w:i/>
          <w:sz w:val="24"/>
          <w:szCs w:val="24"/>
          <w:lang w:eastAsia="es-MX"/>
        </w:rPr>
        <w:t>Artículo 21.- Las personas que acrediten tener 60 años o más de edad, serán beneficiados con una reducción del 50% del impuesto predial, sobre los primeros $560,000.00 del valor fiscal respecto de la casa que habiten y comprueben ser propietarios.</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 xml:space="preserve">Asimismo, serán beneficiarios de la reducción del 50% del impuesto predial sobre los primeros $560,000.00 del valor fiscal respecto de la casa que habiten y comprueben ser propietarios, los pensionados, jubilados o discapacitados que acrediten tener una o más carencias sociales y contar con un ingreso inferior a la Línea de Bienestar determinada por el CONEVAL. </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 xml:space="preserve">En todos los casos se otorgará la reducción antes citada, tratándose exclusivamente de una sola casa habitación. Los pensionados o jubilados que estén interesados en ser beneficiarios de la reducción, deberán de presentar la siguiente documentación: </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 xml:space="preserve">a) Copia del talón de ingresos o en su caso credencial que lo acredite como pensionado, jubilado o discapacitado expedido por institución oficial del país y de la credencial de elector; </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 xml:space="preserve">b) Recibo del impuesto predial, pagado hasta el sexto bimestre del año 2016, además de acreditar que el inmueble lo habita el beneficiado; </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c) Demostrar una o más carencias sociales, con la documentación que determine el Gobierno Municipal;</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d) Participar en la encuesta denominada Cuestionario Único de Información Social CUIS.</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 xml:space="preserve">A los contribuyentes discapacitados, se les otorgará el beneficio siempre y cuando sufran una discapacidad del 50% o más atendiendo a lo dispuesto por el artículo 514 de la Ley Federal del Trabajo. Para tal efecto, la Hacienda Municipal a través de la dependencia que esta designe, practicará examen médico para determinar el grado de discapacidad, el cual será gratuito, o bien bastará la presentación de un certificado que lo acredite expedido por una institución médica oficial del país. </w:t>
      </w:r>
    </w:p>
    <w:p w:rsidR="00E63DEF" w:rsidRPr="00E871B0" w:rsidRDefault="00E63DEF" w:rsidP="00E63DEF">
      <w:pPr>
        <w:ind w:left="708"/>
        <w:rPr>
          <w:rFonts w:ascii="Arial" w:hAnsi="Arial" w:cs="Arial"/>
          <w:i/>
          <w:sz w:val="24"/>
          <w:szCs w:val="24"/>
        </w:rPr>
      </w:pPr>
    </w:p>
    <w:p w:rsidR="00E63DEF" w:rsidRPr="00E871B0" w:rsidRDefault="00E63DEF" w:rsidP="00E63DEF">
      <w:pPr>
        <w:ind w:left="708"/>
        <w:rPr>
          <w:rFonts w:ascii="Arial" w:eastAsia="Times New Roman" w:hAnsi="Arial" w:cs="Arial"/>
          <w:i/>
          <w:sz w:val="24"/>
          <w:szCs w:val="24"/>
          <w:lang w:eastAsia="es-MX"/>
        </w:rPr>
      </w:pPr>
      <w:r w:rsidRPr="00E871B0">
        <w:rPr>
          <w:rFonts w:ascii="Arial" w:eastAsia="Times New Roman" w:hAnsi="Arial" w:cs="Arial"/>
          <w:i/>
          <w:sz w:val="24"/>
          <w:szCs w:val="24"/>
          <w:lang w:eastAsia="es-MX"/>
        </w:rPr>
        <w:t>En ningún caso el impuesto predial a pagar será inferior a una UMAD.</w:t>
      </w:r>
    </w:p>
    <w:p w:rsidR="00E63DEF" w:rsidRPr="00E871B0" w:rsidRDefault="00E63DEF" w:rsidP="00E63DEF">
      <w:pPr>
        <w:ind w:left="708"/>
        <w:rPr>
          <w:rFonts w:ascii="Arial" w:hAnsi="Arial" w:cs="Arial"/>
          <w:i/>
          <w:sz w:val="24"/>
          <w:szCs w:val="24"/>
        </w:rPr>
      </w:pPr>
    </w:p>
    <w:p w:rsidR="00E63DEF" w:rsidRPr="00E871B0" w:rsidRDefault="00E63DEF" w:rsidP="00E63DEF">
      <w:pPr>
        <w:rPr>
          <w:rFonts w:ascii="Arial" w:hAnsi="Arial" w:cs="Arial"/>
          <w:sz w:val="24"/>
          <w:szCs w:val="24"/>
        </w:rPr>
      </w:pPr>
    </w:p>
    <w:p w:rsidR="00E63DEF" w:rsidRPr="002D27B3" w:rsidRDefault="00E63DEF" w:rsidP="002D27B3">
      <w:pPr>
        <w:pStyle w:val="Prrafodelista"/>
        <w:numPr>
          <w:ilvl w:val="0"/>
          <w:numId w:val="8"/>
        </w:numPr>
        <w:rPr>
          <w:rFonts w:ascii="Arial" w:hAnsi="Arial" w:cs="Arial"/>
          <w:b/>
          <w:sz w:val="24"/>
          <w:szCs w:val="24"/>
          <w:u w:val="single"/>
        </w:rPr>
      </w:pPr>
      <w:r w:rsidRPr="002D27B3">
        <w:rPr>
          <w:rFonts w:ascii="Arial" w:hAnsi="Arial" w:cs="Arial"/>
          <w:b/>
          <w:sz w:val="24"/>
          <w:szCs w:val="24"/>
          <w:u w:val="single"/>
        </w:rPr>
        <w:t>Estructura CONAC</w:t>
      </w:r>
    </w:p>
    <w:p w:rsidR="00E63DEF" w:rsidRPr="00E871B0" w:rsidRDefault="00E63DEF" w:rsidP="00E63DEF">
      <w:pPr>
        <w:rPr>
          <w:rFonts w:ascii="Arial" w:hAnsi="Arial" w:cs="Arial"/>
          <w:sz w:val="24"/>
          <w:szCs w:val="24"/>
        </w:rPr>
      </w:pPr>
    </w:p>
    <w:p w:rsidR="00E63DEF" w:rsidRPr="00E871B0" w:rsidRDefault="00E63DEF" w:rsidP="00E63DEF">
      <w:pPr>
        <w:pStyle w:val="Prrafodelista"/>
        <w:numPr>
          <w:ilvl w:val="0"/>
          <w:numId w:val="1"/>
        </w:numPr>
        <w:spacing w:after="200" w:line="276" w:lineRule="auto"/>
        <w:rPr>
          <w:rFonts w:ascii="Arial" w:hAnsi="Arial" w:cs="Arial"/>
          <w:sz w:val="24"/>
          <w:szCs w:val="24"/>
          <w:lang w:val="es-AR"/>
        </w:rPr>
      </w:pPr>
      <w:r w:rsidRPr="00E871B0">
        <w:rPr>
          <w:rFonts w:ascii="Arial" w:hAnsi="Arial" w:cs="Arial"/>
          <w:sz w:val="24"/>
          <w:szCs w:val="24"/>
          <w:lang w:val="es-ES_tradnl"/>
        </w:rPr>
        <w:t xml:space="preserve">Como podrá evidenciarse, se propone integrar la estructura de los ingresos que recibirá el Gobierno Municipal, para el ejercicio </w:t>
      </w:r>
      <w:r w:rsidR="00DE6326">
        <w:rPr>
          <w:rFonts w:ascii="Arial" w:hAnsi="Arial" w:cs="Arial"/>
          <w:sz w:val="24"/>
          <w:szCs w:val="24"/>
          <w:lang w:val="es-ES_tradnl"/>
        </w:rPr>
        <w:t>fiscal 2018</w:t>
      </w:r>
      <w:r w:rsidRPr="00E871B0">
        <w:rPr>
          <w:rFonts w:ascii="Arial" w:hAnsi="Arial" w:cs="Arial"/>
          <w:sz w:val="24"/>
          <w:szCs w:val="24"/>
          <w:lang w:val="es-ES_tradnl"/>
        </w:rPr>
        <w:t xml:space="preserve">, atendiendo a los acuerdos emitidos por el Consejo Nacional de Armonización Contable (CONAC), particularmente en lo relativo a la denominación del rubro general del ingreso, a fin de hacer armónica esta disposición hacendaria municipal con lo previsto con el Clasificador por Rubro de Ingresos y el Plan de Cuentas emitido por el CONAC. Ello es así, en virtud de que </w:t>
      </w:r>
      <w:r w:rsidRPr="00E871B0">
        <w:rPr>
          <w:rFonts w:ascii="Arial" w:hAnsi="Arial" w:cs="Arial"/>
          <w:sz w:val="24"/>
          <w:szCs w:val="24"/>
          <w:lang w:val="es-AR"/>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rsidR="00E63DEF" w:rsidRPr="00E871B0" w:rsidRDefault="00E63DEF" w:rsidP="00E63DEF">
      <w:pPr>
        <w:pStyle w:val="Texto"/>
        <w:spacing w:after="120" w:line="240" w:lineRule="auto"/>
        <w:ind w:left="708" w:firstLine="0"/>
        <w:rPr>
          <w:rFonts w:cs="Arial"/>
          <w:sz w:val="24"/>
          <w:szCs w:val="24"/>
          <w:lang w:val="es-AR"/>
        </w:rPr>
      </w:pPr>
      <w:r w:rsidRPr="00E871B0">
        <w:rPr>
          <w:rFonts w:cs="Arial"/>
          <w:sz w:val="24"/>
          <w:szCs w:val="24"/>
          <w:lang w:val="es-AR"/>
        </w:rPr>
        <w:t>En efecto, la Ley de Contabilidad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rsidR="00E63DEF" w:rsidRPr="00E871B0" w:rsidRDefault="00E63DEF" w:rsidP="00E63DEF">
      <w:pPr>
        <w:pStyle w:val="Texto"/>
        <w:spacing w:after="120" w:line="240" w:lineRule="auto"/>
        <w:ind w:firstLine="0"/>
        <w:rPr>
          <w:rFonts w:cs="Arial"/>
          <w:sz w:val="24"/>
          <w:szCs w:val="24"/>
          <w:lang w:val="es-AR"/>
        </w:rPr>
      </w:pPr>
    </w:p>
    <w:p w:rsidR="00E63DEF" w:rsidRPr="00E871B0" w:rsidRDefault="00E63DEF" w:rsidP="00E63DEF">
      <w:pPr>
        <w:pStyle w:val="Texto"/>
        <w:spacing w:after="120" w:line="240" w:lineRule="auto"/>
        <w:ind w:left="708" w:firstLine="0"/>
        <w:rPr>
          <w:rFonts w:cs="Arial"/>
          <w:sz w:val="24"/>
          <w:szCs w:val="24"/>
          <w:lang w:val="es-AR"/>
        </w:rPr>
      </w:pPr>
      <w:r w:rsidRPr="00E871B0">
        <w:rPr>
          <w:rFonts w:cs="Arial"/>
          <w:sz w:val="24"/>
          <w:szCs w:val="24"/>
          <w:lang w:val="es-AR"/>
        </w:rPr>
        <w:t>Es por ello, que se propone a esta soberanía una modificación integral a la acostumbrada ordenación de los ingresos municipales para que dar de la forma y términos que se describe a continuación:</w:t>
      </w:r>
    </w:p>
    <w:p w:rsidR="00E63DEF" w:rsidRPr="00E871B0" w:rsidRDefault="00E63DEF" w:rsidP="00E63DEF">
      <w:pPr>
        <w:pStyle w:val="Texto"/>
        <w:spacing w:after="0" w:line="240" w:lineRule="auto"/>
        <w:ind w:firstLine="0"/>
        <w:rPr>
          <w:rFonts w:cs="Arial"/>
          <w:sz w:val="24"/>
          <w:szCs w:val="24"/>
          <w:lang w:val="es-AR"/>
        </w:rPr>
      </w:pPr>
    </w:p>
    <w:tbl>
      <w:tblPr>
        <w:tblStyle w:val="Tablanormal11"/>
        <w:tblW w:w="6400" w:type="dxa"/>
        <w:tblLook w:val="04A0" w:firstRow="1" w:lastRow="0" w:firstColumn="1" w:lastColumn="0" w:noHBand="0" w:noVBand="1"/>
      </w:tblPr>
      <w:tblGrid>
        <w:gridCol w:w="6400"/>
      </w:tblGrid>
      <w:tr w:rsidR="00E63DEF" w:rsidRPr="00E871B0" w:rsidTr="00E63D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Impuestos sobre los ingresos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 sobre Espectáculos Públicos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Impuestos sobre el Patrimonio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 Predial</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Impuestos sobre la producción, el consumo y las transacciones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 sobre Transmisiones Patrimoniales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 sobre Negocios Jurídicos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Otros Impuestos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Impuestos Extraordinarios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Accesorios de los Impuestos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CONTRIBUCIONES DE MEJORAS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las Contribuciones de Mejoras por Obras Públicas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DERECHOS</w:t>
            </w:r>
          </w:p>
        </w:tc>
      </w:tr>
      <w:tr w:rsidR="00E63DEF" w:rsidRPr="00E871B0" w:rsidTr="00E63DEF">
        <w:trPr>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lastRenderedPageBreak/>
              <w:t>Derechos por el Uso, Goce, Aprovechamiento o Explotación de Bienes de Dominio Público</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Del Uso del Piso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los Estacionamientos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los Cementerios de Dominio Público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Derechos por Prestación de Servicios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Licencias y Permisos de Giros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Licencias y Permisos para Anuncios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Licencias de Construcción, Reconstrucción, Reparación o demolición de obras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Regularizaciones de los Registros de Obra</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Alineamiento, Designación de número oficial e inspección</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Licencias de Urbanización</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Licencias de cambio de régimen de propiedad</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Servicios de Obra</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Servicios de Sanidad</w:t>
            </w:r>
          </w:p>
        </w:tc>
      </w:tr>
      <w:tr w:rsidR="00E63DEF" w:rsidRPr="00E871B0" w:rsidTr="00E63DEF">
        <w:trPr>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Servicio de Limpia, Recolección, Traslado, Tratamiento y Disposición Final de Residuos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Agua Potable y Alcantarillado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Rastro</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Registro Civil</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Certificaciones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Servicios de Catastro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Servicio de alumbrado público</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Otros Derechos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Derechos No Especificados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Accesorios de los Derechos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PRODUCTOS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los Productos de Tipo Corriente</w:t>
            </w:r>
          </w:p>
        </w:tc>
      </w:tr>
      <w:tr w:rsidR="00E63DEF" w:rsidRPr="00E871B0" w:rsidTr="00E63DEF">
        <w:trPr>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Del Uso, Goce, Aprovechamiento o Explotación de Bienes de Dominio Privado</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los Cementerios de Dominio Privado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Productos Diversos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los Productos de Capital</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APROVECHAMIENTOS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Aprovechamientos de Tipo Corriente</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Aprovechamientos de Capital</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INGRESOS POR VENTAS DE BIENES Y SERVICIOS</w:t>
            </w:r>
          </w:p>
        </w:tc>
      </w:tr>
      <w:tr w:rsidR="00E63DEF" w:rsidRPr="00E871B0" w:rsidTr="00E63DEF">
        <w:trPr>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Ingresos por Ventas de Bienes y Servicios de Organismos Paramunicipales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PARTICIPACIONES Y APORTACIONES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las Participaciones Federales y Estatales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las Aportaciones Federales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lastRenderedPageBreak/>
              <w:t>Convenios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DE LAS TRANSFERENCIAS, ASIGNACIONES, SUBSIDIOS Y OTRAS AYUDAS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Transferencias internas y Asignaciones al Sector Público</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Transferencias al resto del Sector Público</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Subsidio y Subvenciones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Ayudas Sociales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Transferencias a fideicomisos, mandatos y análogos</w:t>
            </w:r>
          </w:p>
        </w:tc>
      </w:tr>
      <w:tr w:rsidR="00E63DEF" w:rsidRPr="00E871B0" w:rsidTr="00E63D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INGRESOS DERIVADOS DE FINANCIAMIENTOS</w:t>
            </w:r>
          </w:p>
        </w:tc>
      </w:tr>
      <w:tr w:rsidR="00E63DEF" w:rsidRPr="00E871B0" w:rsidTr="00E63DEF">
        <w:trPr>
          <w:trHeight w:val="300"/>
        </w:trPr>
        <w:tc>
          <w:tcPr>
            <w:cnfStyle w:val="001000000000" w:firstRow="0" w:lastRow="0" w:firstColumn="1" w:lastColumn="0" w:oddVBand="0" w:evenVBand="0" w:oddHBand="0" w:evenHBand="0" w:firstRowFirstColumn="0" w:firstRowLastColumn="0" w:lastRowFirstColumn="0" w:lastRowLastColumn="0"/>
            <w:tcW w:w="6400" w:type="dxa"/>
            <w:hideMark/>
          </w:tcPr>
          <w:p w:rsidR="00E63DEF" w:rsidRPr="00E871B0" w:rsidRDefault="00E63DEF" w:rsidP="00E63DEF">
            <w:pPr>
              <w:rPr>
                <w:rFonts w:ascii="Arial" w:hAnsi="Arial" w:cs="Arial"/>
                <w:sz w:val="20"/>
                <w:szCs w:val="20"/>
                <w:lang w:eastAsia="es-MX"/>
              </w:rPr>
            </w:pPr>
            <w:r w:rsidRPr="00E871B0">
              <w:rPr>
                <w:rFonts w:ascii="Arial" w:hAnsi="Arial" w:cs="Arial"/>
                <w:sz w:val="20"/>
                <w:szCs w:val="20"/>
                <w:lang w:eastAsia="es-MX"/>
              </w:rPr>
              <w:t>Endeudamiento Interno</w:t>
            </w:r>
          </w:p>
        </w:tc>
      </w:tr>
    </w:tbl>
    <w:p w:rsidR="00E63DEF" w:rsidRPr="00E871B0" w:rsidRDefault="00E63DEF" w:rsidP="00E63DEF">
      <w:pPr>
        <w:rPr>
          <w:rFonts w:ascii="Arial" w:hAnsi="Arial" w:cs="Arial"/>
          <w:bCs/>
          <w:sz w:val="24"/>
          <w:szCs w:val="24"/>
        </w:rPr>
      </w:pPr>
    </w:p>
    <w:p w:rsidR="00E63DEF" w:rsidRPr="002D27B3" w:rsidRDefault="00E63DEF" w:rsidP="002D27B3">
      <w:pPr>
        <w:pStyle w:val="Prrafodelista"/>
        <w:numPr>
          <w:ilvl w:val="0"/>
          <w:numId w:val="8"/>
        </w:numPr>
        <w:rPr>
          <w:rFonts w:ascii="Arial" w:hAnsi="Arial" w:cs="Arial"/>
          <w:b/>
          <w:bCs/>
          <w:sz w:val="24"/>
          <w:szCs w:val="24"/>
          <w:u w:val="single"/>
        </w:rPr>
      </w:pPr>
      <w:r w:rsidRPr="002D27B3">
        <w:rPr>
          <w:rFonts w:ascii="Arial" w:hAnsi="Arial" w:cs="Arial"/>
          <w:b/>
          <w:bCs/>
          <w:sz w:val="24"/>
          <w:szCs w:val="24"/>
          <w:u w:val="single"/>
        </w:rPr>
        <w:t>Dictamen de valor, respecto de las áreas de cesión de los predios urbanos sujetos a regularización</w:t>
      </w:r>
    </w:p>
    <w:p w:rsidR="00E63DEF" w:rsidRPr="00393DC2" w:rsidRDefault="00E63DEF" w:rsidP="00E63DEF">
      <w:pPr>
        <w:rPr>
          <w:rFonts w:ascii="Arial" w:hAnsi="Arial" w:cs="Arial"/>
          <w:b/>
          <w:bCs/>
          <w:sz w:val="24"/>
          <w:szCs w:val="24"/>
          <w:u w:val="single"/>
        </w:rPr>
      </w:pPr>
    </w:p>
    <w:p w:rsidR="00E63DEF" w:rsidRPr="00E871B0" w:rsidRDefault="00E63DEF" w:rsidP="00E63DEF">
      <w:pPr>
        <w:rPr>
          <w:rFonts w:ascii="Arial" w:hAnsi="Arial" w:cs="Arial"/>
          <w:bCs/>
          <w:sz w:val="24"/>
          <w:szCs w:val="24"/>
        </w:rPr>
      </w:pPr>
      <w:r w:rsidRPr="00E871B0">
        <w:rPr>
          <w:rFonts w:ascii="Arial" w:hAnsi="Arial" w:cs="Arial"/>
          <w:bCs/>
          <w:sz w:val="24"/>
          <w:szCs w:val="24"/>
        </w:rPr>
        <w:t>Respecto de los fraccionamientos sujetos a la regularización por parte del COMUR, conforme al procedimiento establecido en la Ley para la Regularización y Titulación de Predios Urbanos en el Estado de Jalisco, existe una problemática en nuestro municipio, toda vez que los fraccionamientos no cumplen con el porcentaje de área de cesión establecido en el Código Urbano para el Estado de Jalisco, en su artículo 176.</w:t>
      </w:r>
    </w:p>
    <w:p w:rsidR="00E63DEF" w:rsidRPr="00E871B0" w:rsidRDefault="00E63DEF" w:rsidP="00E63DEF">
      <w:pPr>
        <w:rPr>
          <w:rFonts w:ascii="Arial" w:hAnsi="Arial" w:cs="Arial"/>
          <w:bCs/>
          <w:sz w:val="24"/>
          <w:szCs w:val="24"/>
        </w:rPr>
      </w:pPr>
    </w:p>
    <w:p w:rsidR="00E63DEF" w:rsidRPr="00E871B0" w:rsidRDefault="00E63DEF" w:rsidP="00E63DEF">
      <w:pPr>
        <w:rPr>
          <w:rFonts w:ascii="Arial" w:hAnsi="Arial" w:cs="Arial"/>
          <w:bCs/>
          <w:sz w:val="24"/>
          <w:szCs w:val="24"/>
        </w:rPr>
      </w:pPr>
      <w:r w:rsidRPr="00E871B0">
        <w:rPr>
          <w:rFonts w:ascii="Arial" w:hAnsi="Arial" w:cs="Arial"/>
          <w:bCs/>
          <w:sz w:val="24"/>
          <w:szCs w:val="24"/>
        </w:rPr>
        <w:t>Para tal supuesto, la propia Ley para la Regularización y Titulación de Predios Urbanos en el Estado de Jalisco, establece en su artículo 24, fracción III, la posibilidad de que los fraccionamientos cubran en efectivo el valor de las áreas de cesión que hiciera falta para completar el porcentaje establecido en el artículo 176 antes mencionado. Para la determinación del valor de las áreas de cesión, el Catastro Municipal deberá de realizar un dictamen de valor de dichas áreas.</w:t>
      </w:r>
    </w:p>
    <w:p w:rsidR="00E63DEF" w:rsidRPr="00E871B0" w:rsidRDefault="00E63DEF" w:rsidP="00E63DEF">
      <w:pPr>
        <w:rPr>
          <w:rFonts w:ascii="Arial" w:hAnsi="Arial" w:cs="Arial"/>
          <w:bCs/>
          <w:sz w:val="24"/>
          <w:szCs w:val="24"/>
        </w:rPr>
      </w:pPr>
    </w:p>
    <w:p w:rsidR="00E63DEF" w:rsidRPr="00E871B0" w:rsidRDefault="00E63DEF" w:rsidP="00E63DEF">
      <w:pPr>
        <w:ind w:left="705"/>
        <w:rPr>
          <w:rFonts w:ascii="Arial" w:hAnsi="Arial" w:cs="Arial"/>
          <w:sz w:val="24"/>
          <w:szCs w:val="24"/>
        </w:rPr>
      </w:pPr>
      <w:r w:rsidRPr="00E871B0">
        <w:rPr>
          <w:rFonts w:ascii="Arial" w:hAnsi="Arial" w:cs="Arial"/>
          <w:b/>
          <w:bCs/>
          <w:sz w:val="24"/>
          <w:szCs w:val="24"/>
        </w:rPr>
        <w:t>Artículo 24.</w:t>
      </w:r>
      <w:r w:rsidRPr="00E871B0">
        <w:rPr>
          <w:rFonts w:ascii="Arial" w:hAnsi="Arial" w:cs="Arial"/>
          <w:sz w:val="24"/>
          <w:szCs w:val="24"/>
        </w:rPr>
        <w:t xml:space="preserve"> A fin de proveer o complementar las áreas de cesión para destinos correspondientes al predio o fraccionamiento objeto de la acción de regularización, con base en el dictamen aprobado por la Comisión, se deberá de atender a las siguientes disposiciones:</w:t>
      </w:r>
    </w:p>
    <w:p w:rsidR="00E63DEF" w:rsidRPr="00E871B0" w:rsidRDefault="00E63DEF" w:rsidP="00E63DEF">
      <w:pPr>
        <w:ind w:left="705"/>
        <w:rPr>
          <w:rFonts w:ascii="Arial" w:hAnsi="Arial" w:cs="Arial"/>
          <w:bCs/>
          <w:sz w:val="24"/>
          <w:szCs w:val="24"/>
        </w:rPr>
      </w:pPr>
      <w:r w:rsidRPr="00E871B0">
        <w:rPr>
          <w:rFonts w:ascii="Arial" w:hAnsi="Arial" w:cs="Arial"/>
          <w:b/>
          <w:bCs/>
          <w:sz w:val="24"/>
          <w:szCs w:val="24"/>
        </w:rPr>
        <w:t>…</w:t>
      </w:r>
    </w:p>
    <w:p w:rsidR="00E63DEF" w:rsidRPr="00E871B0" w:rsidRDefault="00E63DEF" w:rsidP="00E63DEF">
      <w:pPr>
        <w:ind w:left="705"/>
        <w:rPr>
          <w:rFonts w:ascii="Arial" w:hAnsi="Arial" w:cs="Arial"/>
          <w:bCs/>
          <w:sz w:val="24"/>
          <w:szCs w:val="24"/>
        </w:rPr>
      </w:pPr>
      <w:r w:rsidRPr="00E871B0">
        <w:rPr>
          <w:rFonts w:ascii="Arial" w:hAnsi="Arial" w:cs="Arial"/>
          <w:b/>
          <w:bCs/>
          <w:sz w:val="24"/>
          <w:szCs w:val="24"/>
        </w:rPr>
        <w:t>III.</w:t>
      </w:r>
      <w:r w:rsidRPr="00E871B0">
        <w:rPr>
          <w:rFonts w:ascii="Arial" w:hAnsi="Arial" w:cs="Arial"/>
          <w:sz w:val="24"/>
          <w:szCs w:val="24"/>
        </w:rPr>
        <w:t xml:space="preserve"> En los casos en que sea imposible recuperar la superficie de áreas de cesión, de acuerdo con los porcentajes establecidos en la legislación aplicable vigente, se acordará la sustitución de la obligación de aportar áreas de cesión para destinos, con base en el dictamen de valor que emita el Catastro y se constituirá como crédito fiscal.”</w:t>
      </w:r>
    </w:p>
    <w:p w:rsidR="00E63DEF" w:rsidRPr="00E871B0" w:rsidRDefault="00E63DEF" w:rsidP="00E63DEF">
      <w:pPr>
        <w:rPr>
          <w:rFonts w:ascii="Arial" w:hAnsi="Arial" w:cs="Arial"/>
          <w:bCs/>
          <w:sz w:val="24"/>
          <w:szCs w:val="24"/>
        </w:rPr>
      </w:pPr>
    </w:p>
    <w:p w:rsidR="00E63DEF" w:rsidRDefault="00E63DEF" w:rsidP="00E63DEF">
      <w:pPr>
        <w:rPr>
          <w:rFonts w:ascii="Arial" w:hAnsi="Arial" w:cs="Arial"/>
          <w:bCs/>
          <w:sz w:val="24"/>
          <w:szCs w:val="24"/>
        </w:rPr>
      </w:pPr>
      <w:r w:rsidRPr="00E871B0">
        <w:rPr>
          <w:rFonts w:ascii="Arial" w:hAnsi="Arial" w:cs="Arial"/>
          <w:bCs/>
          <w:sz w:val="24"/>
          <w:szCs w:val="24"/>
        </w:rPr>
        <w:t>Ahora bien, la situación económica de los habitantes sujetos a la regularización, no les permite cubrir el valor total de las áreas de cesión, por lo que se establece en la presente iniciativa de Ley de Ingresos, la reducción de hasta un 90% del valor determinado por el Catastro Municipal. Las reducciones deberán de aprobarse por mayoría absoluta del Ayuntamiento y deberán de justificarse a través de un estudio que determine la situación socioeconómica y de carencias sociales de los interesados en recibir el apoyo.</w:t>
      </w:r>
    </w:p>
    <w:p w:rsidR="00E674CE" w:rsidRDefault="00E674CE" w:rsidP="00E63DEF">
      <w:pPr>
        <w:rPr>
          <w:rFonts w:ascii="Arial" w:hAnsi="Arial" w:cs="Arial"/>
          <w:bCs/>
          <w:sz w:val="24"/>
          <w:szCs w:val="24"/>
        </w:rPr>
      </w:pPr>
    </w:p>
    <w:p w:rsidR="00E674CE" w:rsidRPr="00512507" w:rsidRDefault="00E674CE" w:rsidP="002D27B3">
      <w:pPr>
        <w:pStyle w:val="Prrafodelista"/>
        <w:numPr>
          <w:ilvl w:val="0"/>
          <w:numId w:val="8"/>
        </w:numPr>
        <w:rPr>
          <w:rFonts w:ascii="Arial" w:hAnsi="Arial" w:cs="Arial"/>
          <w:b/>
          <w:bCs/>
          <w:sz w:val="24"/>
          <w:szCs w:val="24"/>
          <w:highlight w:val="green"/>
          <w:u w:val="single"/>
        </w:rPr>
      </w:pPr>
      <w:r w:rsidRPr="00512507">
        <w:rPr>
          <w:rFonts w:ascii="Arial" w:hAnsi="Arial" w:cs="Arial"/>
          <w:b/>
          <w:bCs/>
          <w:sz w:val="24"/>
          <w:szCs w:val="24"/>
          <w:highlight w:val="green"/>
          <w:u w:val="single"/>
        </w:rPr>
        <w:t>Cumplimiento a lo establecido por el Sistema Nacional Anticorrupción</w:t>
      </w:r>
    </w:p>
    <w:p w:rsidR="00E674CE" w:rsidRPr="00512507" w:rsidRDefault="00E674CE" w:rsidP="00E63DEF">
      <w:pPr>
        <w:rPr>
          <w:rFonts w:ascii="Arial" w:hAnsi="Arial" w:cs="Arial"/>
          <w:b/>
          <w:bCs/>
          <w:sz w:val="24"/>
          <w:szCs w:val="24"/>
          <w:highlight w:val="green"/>
          <w:u w:val="single"/>
        </w:rPr>
      </w:pPr>
    </w:p>
    <w:p w:rsidR="00E674CE" w:rsidRDefault="00E674CE" w:rsidP="00E674CE">
      <w:pPr>
        <w:rPr>
          <w:rFonts w:ascii="Arial" w:hAnsi="Arial" w:cs="Arial"/>
          <w:sz w:val="24"/>
          <w:szCs w:val="24"/>
        </w:rPr>
      </w:pPr>
      <w:r w:rsidRPr="00512507">
        <w:rPr>
          <w:rFonts w:ascii="Arial" w:hAnsi="Arial" w:cs="Arial"/>
          <w:sz w:val="24"/>
          <w:szCs w:val="24"/>
          <w:highlight w:val="green"/>
        </w:rPr>
        <w:t>Se propone modificar lo que disponía el artículo 4 de la Ley de Ingresos para el ejercicio fiscal 2017, en cumplimiento a lo establecido por el Sistema Nacional Anticorrupción y lo previsto en la Ley General de Responsabilidades Administrativas, respecto al procedimiento</w:t>
      </w:r>
      <w:r w:rsidRPr="006C59C0">
        <w:rPr>
          <w:rFonts w:ascii="Arial" w:hAnsi="Arial" w:cs="Arial"/>
          <w:sz w:val="24"/>
          <w:szCs w:val="24"/>
        </w:rPr>
        <w:t xml:space="preserve"> de responsabilidades administrativas, para quedar como sigue:</w:t>
      </w:r>
    </w:p>
    <w:p w:rsidR="00E674CE" w:rsidRPr="006C59C0" w:rsidRDefault="00E674CE" w:rsidP="00E674CE">
      <w:pPr>
        <w:rPr>
          <w:rFonts w:ascii="Arial" w:hAnsi="Arial" w:cs="Arial"/>
          <w:sz w:val="24"/>
          <w:szCs w:val="24"/>
        </w:rPr>
      </w:pPr>
    </w:p>
    <w:p w:rsidR="00E674CE" w:rsidRDefault="00E674CE" w:rsidP="00E674CE">
      <w:pPr>
        <w:ind w:left="708"/>
        <w:rPr>
          <w:rFonts w:ascii="Arial" w:hAnsi="Arial" w:cs="Arial"/>
          <w:i/>
          <w:szCs w:val="24"/>
        </w:rPr>
      </w:pPr>
      <w:r w:rsidRPr="00FB30E3">
        <w:rPr>
          <w:rFonts w:ascii="Arial" w:hAnsi="Arial" w:cs="Arial"/>
          <w:i/>
          <w:szCs w:val="24"/>
        </w:rPr>
        <w:t xml:space="preserve">Artículo 16.- </w:t>
      </w:r>
      <w:r w:rsidRPr="00244ABD">
        <w:rPr>
          <w:rFonts w:ascii="Arial" w:hAnsi="Arial" w:cs="Arial"/>
          <w:i/>
          <w:szCs w:val="24"/>
        </w:rPr>
        <w:t>Para los efectos de esta ley, las responsabilidades administrativas que la ley determine como graves, así como las que finquen a los responsables el pago de las indemnizaciones y sanciones pecuniarias que deriven de los daños y perjuicios que afecten a la hacienda pública estatal o municipal o al patrimonio de los poderes o entes públicos locales o municipales, que determine el Tribunal de Justicia Administrativa, se constituirán como créditos fiscales; en consecuencia, la Hacienda Municipal tendrá la obligación de hacerlos efectivos, mediante el procedimient</w:t>
      </w:r>
      <w:r>
        <w:rPr>
          <w:rFonts w:ascii="Arial" w:hAnsi="Arial" w:cs="Arial"/>
          <w:i/>
          <w:szCs w:val="24"/>
        </w:rPr>
        <w:t>o administrativo de ejecución.</w:t>
      </w:r>
    </w:p>
    <w:p w:rsidR="00E674CE" w:rsidRDefault="00E674CE" w:rsidP="00E674CE">
      <w:pPr>
        <w:rPr>
          <w:rFonts w:ascii="Arial" w:hAnsi="Arial" w:cs="Arial"/>
          <w:sz w:val="24"/>
          <w:szCs w:val="24"/>
        </w:rPr>
      </w:pPr>
    </w:p>
    <w:p w:rsidR="00E674CE" w:rsidRDefault="00E674CE" w:rsidP="00E674CE">
      <w:pPr>
        <w:rPr>
          <w:rFonts w:ascii="Arial" w:hAnsi="Arial" w:cs="Arial"/>
          <w:sz w:val="24"/>
          <w:szCs w:val="24"/>
        </w:rPr>
      </w:pPr>
      <w:r w:rsidRPr="006C59C0">
        <w:rPr>
          <w:rFonts w:ascii="Arial" w:hAnsi="Arial" w:cs="Arial"/>
          <w:sz w:val="24"/>
          <w:szCs w:val="24"/>
        </w:rPr>
        <w:t xml:space="preserve">Sin embargo, </w:t>
      </w:r>
      <w:r>
        <w:rPr>
          <w:rFonts w:ascii="Arial" w:hAnsi="Arial" w:cs="Arial"/>
          <w:sz w:val="24"/>
          <w:szCs w:val="24"/>
        </w:rPr>
        <w:t>se agrega un artículo transitorio en el que se prevé que en tanto no entré en vigor el Sistema Estatal Anticorrupción, se seguirá aplicando lo dispuesto por el artículo 4 vigente en el 2017. Se transcribe el transitorio en comento.</w:t>
      </w:r>
    </w:p>
    <w:p w:rsidR="00E674CE" w:rsidRPr="006C59C0" w:rsidRDefault="00E674CE" w:rsidP="00E674CE">
      <w:pPr>
        <w:rPr>
          <w:rFonts w:ascii="Arial" w:hAnsi="Arial" w:cs="Arial"/>
          <w:sz w:val="24"/>
          <w:szCs w:val="24"/>
        </w:rPr>
      </w:pPr>
    </w:p>
    <w:p w:rsidR="00E674CE" w:rsidRPr="00FB30E3" w:rsidRDefault="00E674CE" w:rsidP="00E674CE">
      <w:pPr>
        <w:ind w:left="708"/>
        <w:rPr>
          <w:rFonts w:ascii="Arial" w:hAnsi="Arial" w:cs="Arial"/>
          <w:i/>
          <w:szCs w:val="24"/>
        </w:rPr>
      </w:pPr>
      <w:r w:rsidRPr="00FB30E3">
        <w:rPr>
          <w:rFonts w:ascii="Arial" w:hAnsi="Arial" w:cs="Arial"/>
          <w:i/>
          <w:szCs w:val="24"/>
        </w:rPr>
        <w:t>SÉPTIMO.- Hasta en tanto entre en vigor el sistema estatal anticorrupción, seguirá aplicándose el siguiente criterio:</w:t>
      </w:r>
    </w:p>
    <w:p w:rsidR="00E674CE" w:rsidRDefault="00E674CE" w:rsidP="00E674CE">
      <w:pPr>
        <w:ind w:left="708"/>
        <w:rPr>
          <w:rFonts w:ascii="Arial" w:hAnsi="Arial" w:cs="Arial"/>
          <w:i/>
          <w:szCs w:val="24"/>
        </w:rPr>
      </w:pPr>
      <w:r w:rsidRPr="00FB30E3">
        <w:rPr>
          <w:rFonts w:ascii="Arial" w:hAnsi="Arial" w:cs="Arial"/>
          <w:i/>
          <w:szCs w:val="24"/>
        </w:rPr>
        <w:t>Para los efectos de esta ley, las responsabilidades pecuniarias que cuantifique la Auditoría Superior del Estado de Jalisco, en contra de servidores públicos municipales, se equipararán a créditos fiscales, previa la aprobación del Congreso del Estado; en consecuencia, la Hacienda Municipal tendrá la obligación de hacerlos efectivos.</w:t>
      </w:r>
    </w:p>
    <w:p w:rsidR="002D27B3" w:rsidRDefault="002D27B3" w:rsidP="002D27B3">
      <w:pPr>
        <w:rPr>
          <w:rFonts w:ascii="Arial" w:hAnsi="Arial" w:cs="Arial"/>
          <w:szCs w:val="24"/>
        </w:rPr>
      </w:pPr>
    </w:p>
    <w:p w:rsidR="002D27B3" w:rsidRDefault="00512507" w:rsidP="00512507">
      <w:pPr>
        <w:pStyle w:val="Prrafodelista"/>
        <w:numPr>
          <w:ilvl w:val="0"/>
          <w:numId w:val="8"/>
        </w:numPr>
        <w:rPr>
          <w:rFonts w:ascii="Arial" w:hAnsi="Arial" w:cs="Arial"/>
          <w:b/>
          <w:bCs/>
          <w:sz w:val="24"/>
          <w:szCs w:val="24"/>
          <w:u w:val="single"/>
        </w:rPr>
      </w:pPr>
      <w:r>
        <w:rPr>
          <w:rFonts w:ascii="Arial" w:hAnsi="Arial" w:cs="Arial"/>
          <w:b/>
          <w:bCs/>
          <w:sz w:val="24"/>
          <w:szCs w:val="24"/>
          <w:u w:val="single"/>
        </w:rPr>
        <w:t>Carta de Origen</w:t>
      </w:r>
    </w:p>
    <w:p w:rsidR="00512507" w:rsidRDefault="00512507" w:rsidP="00512507">
      <w:pPr>
        <w:rPr>
          <w:rFonts w:ascii="Arial" w:hAnsi="Arial" w:cs="Arial"/>
          <w:b/>
          <w:bCs/>
          <w:sz w:val="24"/>
          <w:szCs w:val="24"/>
          <w:u w:val="single"/>
        </w:rPr>
      </w:pPr>
    </w:p>
    <w:p w:rsidR="00512507" w:rsidRDefault="00907CAB" w:rsidP="00512507">
      <w:pPr>
        <w:rPr>
          <w:rFonts w:ascii="Arial" w:hAnsi="Arial" w:cs="Arial"/>
          <w:bCs/>
          <w:sz w:val="24"/>
          <w:szCs w:val="24"/>
        </w:rPr>
      </w:pPr>
      <w:r>
        <w:rPr>
          <w:rFonts w:ascii="Arial" w:hAnsi="Arial" w:cs="Arial"/>
          <w:bCs/>
          <w:sz w:val="24"/>
          <w:szCs w:val="24"/>
        </w:rPr>
        <w:t>En atención a la reciente reforma al artículo 63 y la adición del artículo 63 Bis, de la Ley del Gobierno y la Administración Pública Municipal del Estado, mediante la cual se establece la facultad del Secretario del Ayuntamiento, para expedir la carta de origen, la cual tiene como objeto acreditar la autenticidad del origen del ciudadano mexicano en el extranjero carente de alguna identificación oficial con fotografía; se integra a la presente iniciativa la fracción XX, del artículo 62, para quedar como sigue:</w:t>
      </w:r>
    </w:p>
    <w:p w:rsidR="00907CAB" w:rsidRDefault="00907CAB" w:rsidP="00512507">
      <w:pPr>
        <w:rPr>
          <w:rFonts w:ascii="Arial" w:hAnsi="Arial" w:cs="Arial"/>
          <w:bCs/>
          <w:sz w:val="24"/>
          <w:szCs w:val="24"/>
        </w:rPr>
      </w:pPr>
    </w:p>
    <w:p w:rsidR="00907CAB" w:rsidRPr="00907CAB" w:rsidRDefault="00907CAB" w:rsidP="00907CAB">
      <w:pPr>
        <w:spacing w:line="360" w:lineRule="auto"/>
        <w:ind w:left="708"/>
        <w:rPr>
          <w:rFonts w:ascii="Arial" w:hAnsi="Arial" w:cs="Arial"/>
          <w:sz w:val="24"/>
          <w:szCs w:val="24"/>
          <w:highlight w:val="green"/>
        </w:rPr>
      </w:pPr>
      <w:r w:rsidRPr="00907CAB">
        <w:rPr>
          <w:rFonts w:ascii="Arial" w:hAnsi="Arial" w:cs="Arial"/>
          <w:sz w:val="24"/>
          <w:szCs w:val="24"/>
          <w:highlight w:val="green"/>
        </w:rPr>
        <w:t xml:space="preserve">Artículo 62.- Los derechos por este concepto se causarán y pagarán, previamente, conforme a la siguiente: </w:t>
      </w:r>
      <w:r w:rsidRPr="00907CAB">
        <w:rPr>
          <w:rFonts w:ascii="Arial" w:hAnsi="Arial" w:cs="Arial"/>
          <w:sz w:val="24"/>
          <w:szCs w:val="24"/>
          <w:highlight w:val="green"/>
        </w:rPr>
        <w:tab/>
      </w:r>
      <w:r w:rsidRPr="00907CAB">
        <w:rPr>
          <w:rFonts w:ascii="Arial" w:hAnsi="Arial" w:cs="Arial"/>
          <w:sz w:val="24"/>
          <w:szCs w:val="24"/>
          <w:highlight w:val="green"/>
        </w:rPr>
        <w:tab/>
      </w:r>
      <w:r w:rsidRPr="00907CAB">
        <w:rPr>
          <w:rFonts w:ascii="Arial" w:hAnsi="Arial" w:cs="Arial"/>
          <w:sz w:val="24"/>
          <w:szCs w:val="24"/>
          <w:highlight w:val="green"/>
        </w:rPr>
        <w:tab/>
      </w:r>
      <w:r w:rsidRPr="00907CAB">
        <w:rPr>
          <w:rFonts w:ascii="Arial" w:hAnsi="Arial" w:cs="Arial"/>
          <w:sz w:val="24"/>
          <w:szCs w:val="24"/>
          <w:highlight w:val="green"/>
        </w:rPr>
        <w:tab/>
      </w:r>
      <w:r w:rsidRPr="00907CAB">
        <w:rPr>
          <w:rFonts w:ascii="Arial" w:hAnsi="Arial" w:cs="Arial"/>
          <w:sz w:val="24"/>
          <w:szCs w:val="24"/>
          <w:highlight w:val="green"/>
        </w:rPr>
        <w:tab/>
      </w:r>
    </w:p>
    <w:p w:rsidR="00907CAB" w:rsidRPr="00907CAB" w:rsidRDefault="00907CAB" w:rsidP="00907CAB">
      <w:pPr>
        <w:spacing w:line="360" w:lineRule="auto"/>
        <w:rPr>
          <w:rFonts w:ascii="Arial" w:hAnsi="Arial" w:cs="Arial"/>
          <w:sz w:val="24"/>
          <w:szCs w:val="24"/>
          <w:highlight w:val="green"/>
        </w:rPr>
      </w:pPr>
    </w:p>
    <w:p w:rsidR="00907CAB" w:rsidRPr="006B7EB5" w:rsidRDefault="00907CAB" w:rsidP="00907CAB">
      <w:pPr>
        <w:spacing w:line="360" w:lineRule="auto"/>
        <w:ind w:firstLine="708"/>
        <w:rPr>
          <w:rFonts w:ascii="Arial" w:hAnsi="Arial" w:cs="Arial"/>
          <w:sz w:val="24"/>
          <w:szCs w:val="24"/>
        </w:rPr>
      </w:pPr>
      <w:r w:rsidRPr="00907CAB">
        <w:rPr>
          <w:rFonts w:ascii="Arial" w:hAnsi="Arial" w:cs="Arial"/>
          <w:sz w:val="24"/>
          <w:szCs w:val="24"/>
          <w:highlight w:val="green"/>
        </w:rPr>
        <w:t>TARIFA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907CAB" w:rsidRDefault="00907CAB" w:rsidP="00907CAB">
      <w:pPr>
        <w:spacing w:line="360" w:lineRule="auto"/>
        <w:ind w:left="708"/>
        <w:rPr>
          <w:rFonts w:ascii="Arial" w:hAnsi="Arial" w:cs="Arial"/>
          <w:sz w:val="24"/>
          <w:szCs w:val="24"/>
          <w:highlight w:val="green"/>
        </w:rPr>
      </w:pPr>
      <w:r>
        <w:rPr>
          <w:rFonts w:ascii="Arial" w:hAnsi="Arial" w:cs="Arial"/>
          <w:sz w:val="24"/>
          <w:szCs w:val="24"/>
          <w:highlight w:val="green"/>
        </w:rPr>
        <w:t>…</w:t>
      </w:r>
    </w:p>
    <w:p w:rsidR="00907CAB" w:rsidRDefault="00907CAB" w:rsidP="00907CAB">
      <w:pPr>
        <w:spacing w:line="360" w:lineRule="auto"/>
        <w:ind w:left="708"/>
        <w:rPr>
          <w:rFonts w:ascii="Arial" w:hAnsi="Arial" w:cs="Arial"/>
          <w:sz w:val="24"/>
          <w:szCs w:val="24"/>
        </w:rPr>
      </w:pPr>
      <w:r w:rsidRPr="002D27B3">
        <w:rPr>
          <w:rFonts w:ascii="Arial" w:hAnsi="Arial" w:cs="Arial"/>
          <w:sz w:val="24"/>
          <w:szCs w:val="24"/>
          <w:highlight w:val="green"/>
        </w:rPr>
        <w:lastRenderedPageBreak/>
        <w:t>XX. Expedición de carta de origen, por parte del Secretario de Ayuntamiento, la cual tiene por objeto acreditar la autenticidad del origen del ciudadano mexicano el extranjero carente de alguna identificación oficial con fotografí</w:t>
      </w:r>
      <w:r>
        <w:rPr>
          <w:rFonts w:ascii="Arial" w:hAnsi="Arial" w:cs="Arial"/>
          <w:sz w:val="24"/>
          <w:szCs w:val="24"/>
          <w:highlight w:val="green"/>
        </w:rPr>
        <w:t>a, conforme a lo dispuesto en los</w:t>
      </w:r>
      <w:r w:rsidRPr="002D27B3">
        <w:rPr>
          <w:rFonts w:ascii="Arial" w:hAnsi="Arial" w:cs="Arial"/>
          <w:sz w:val="24"/>
          <w:szCs w:val="24"/>
          <w:highlight w:val="green"/>
        </w:rPr>
        <w:t xml:space="preserve"> artículo</w:t>
      </w:r>
      <w:r>
        <w:rPr>
          <w:rFonts w:ascii="Arial" w:hAnsi="Arial" w:cs="Arial"/>
          <w:sz w:val="24"/>
          <w:szCs w:val="24"/>
          <w:highlight w:val="green"/>
        </w:rPr>
        <w:t>s 63 y</w:t>
      </w:r>
      <w:r w:rsidRPr="002D27B3">
        <w:rPr>
          <w:rFonts w:ascii="Arial" w:hAnsi="Arial" w:cs="Arial"/>
          <w:sz w:val="24"/>
          <w:szCs w:val="24"/>
          <w:highlight w:val="green"/>
        </w:rPr>
        <w:t xml:space="preserve"> 63 bis, de la Ley del Gobierno y la Administración Pública Municipal del Estado de Jalisco; por cada uno: </w:t>
      </w:r>
      <w:r w:rsidRPr="002D27B3">
        <w:rPr>
          <w:rFonts w:ascii="Arial" w:hAnsi="Arial" w:cs="Arial"/>
          <w:sz w:val="24"/>
          <w:szCs w:val="24"/>
          <w:highlight w:val="green"/>
        </w:rPr>
        <w:tab/>
      </w:r>
      <w:r w:rsidRPr="002D27B3">
        <w:rPr>
          <w:rFonts w:ascii="Arial" w:hAnsi="Arial" w:cs="Arial"/>
          <w:sz w:val="24"/>
          <w:szCs w:val="24"/>
          <w:highlight w:val="green"/>
        </w:rPr>
        <w:tab/>
        <w:t>$80.00</w:t>
      </w:r>
    </w:p>
    <w:p w:rsidR="00907CAB" w:rsidRPr="00907CAB" w:rsidRDefault="00907CAB" w:rsidP="00512507">
      <w:pPr>
        <w:rPr>
          <w:rFonts w:ascii="Arial" w:hAnsi="Arial" w:cs="Arial"/>
          <w:bCs/>
          <w:sz w:val="24"/>
          <w:szCs w:val="24"/>
        </w:rPr>
      </w:pPr>
    </w:p>
    <w:p w:rsidR="00E674CE" w:rsidRPr="00E871B0" w:rsidRDefault="00E674CE" w:rsidP="00E63DEF">
      <w:pPr>
        <w:rPr>
          <w:rFonts w:ascii="Arial" w:hAnsi="Arial" w:cs="Arial"/>
          <w:sz w:val="24"/>
          <w:szCs w:val="24"/>
        </w:rPr>
      </w:pPr>
    </w:p>
    <w:p w:rsidR="00E63DEF" w:rsidRPr="00E871B0" w:rsidRDefault="00E63DEF" w:rsidP="00E63DEF">
      <w:pPr>
        <w:rPr>
          <w:rFonts w:ascii="Arial" w:hAnsi="Arial" w:cs="Arial"/>
          <w:b/>
          <w:sz w:val="24"/>
          <w:szCs w:val="24"/>
          <w:highlight w:val="yellow"/>
        </w:rPr>
      </w:pPr>
      <w:r>
        <w:rPr>
          <w:rFonts w:ascii="Arial" w:hAnsi="Arial" w:cs="Arial"/>
          <w:b/>
          <w:sz w:val="24"/>
          <w:szCs w:val="24"/>
        </w:rPr>
        <w:t>TERCERO</w:t>
      </w:r>
      <w:r w:rsidRPr="00E871B0">
        <w:rPr>
          <w:rFonts w:ascii="Arial" w:hAnsi="Arial" w:cs="Arial"/>
          <w:b/>
          <w:sz w:val="24"/>
          <w:szCs w:val="24"/>
        </w:rPr>
        <w:t xml:space="preserve">: </w:t>
      </w:r>
      <w:r w:rsidRPr="00E871B0">
        <w:rPr>
          <w:rFonts w:ascii="Arial" w:hAnsi="Arial" w:cs="Arial"/>
          <w:sz w:val="24"/>
          <w:szCs w:val="24"/>
        </w:rPr>
        <w:t>La legislatura del H. Congreso del Estado de Jalisco</w:t>
      </w:r>
      <w:r w:rsidR="00393DC2">
        <w:rPr>
          <w:rFonts w:ascii="Arial" w:hAnsi="Arial" w:cs="Arial"/>
          <w:sz w:val="24"/>
          <w:szCs w:val="24"/>
        </w:rPr>
        <w:t>, para la aprobación de la presente iniciativa, deberá</w:t>
      </w:r>
      <w:r w:rsidRPr="00E871B0">
        <w:rPr>
          <w:rFonts w:ascii="Arial" w:hAnsi="Arial" w:cs="Arial"/>
          <w:sz w:val="24"/>
          <w:szCs w:val="24"/>
        </w:rPr>
        <w:t xml:space="preserve"> at</w:t>
      </w:r>
      <w:r w:rsidR="00393DC2">
        <w:rPr>
          <w:rFonts w:ascii="Arial" w:hAnsi="Arial" w:cs="Arial"/>
          <w:sz w:val="24"/>
          <w:szCs w:val="24"/>
        </w:rPr>
        <w:t>ender</w:t>
      </w:r>
      <w:r w:rsidRPr="00E871B0">
        <w:rPr>
          <w:rFonts w:ascii="Arial" w:hAnsi="Arial" w:cs="Arial"/>
          <w:sz w:val="24"/>
          <w:szCs w:val="24"/>
        </w:rPr>
        <w:t xml:space="preserve"> los principios de motivación objetiva y razonable así como el de fortalecimiento municipal y reserva de fuentes, reconocidos como un límite a la libertad de configuración de los tributos por parte del legislador y su relación con la iniciativa municipal, tal como lo describen las siguientes tesis:</w:t>
      </w:r>
    </w:p>
    <w:p w:rsidR="00E63DEF" w:rsidRPr="00E871B0" w:rsidRDefault="00E63DEF" w:rsidP="00E63DEF">
      <w:pPr>
        <w:rPr>
          <w:rFonts w:ascii="Arial" w:hAnsi="Arial" w:cs="Arial"/>
          <w:b/>
          <w:sz w:val="24"/>
          <w:szCs w:val="24"/>
          <w:highlight w:val="yellow"/>
        </w:rPr>
      </w:pP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Novena Época</w:t>
      </w:r>
      <w:r w:rsidRPr="00E871B0">
        <w:rPr>
          <w:rFonts w:ascii="Arial" w:hAnsi="Arial" w:cs="Arial"/>
          <w:b/>
          <w:i/>
          <w:sz w:val="24"/>
          <w:szCs w:val="24"/>
        </w:rPr>
        <w:tab/>
        <w:t>Núm. de Registro: 174092</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Instancia:</w:t>
      </w:r>
      <w:r w:rsidRPr="00E871B0">
        <w:rPr>
          <w:rFonts w:ascii="Arial" w:hAnsi="Arial" w:cs="Arial"/>
          <w:b/>
          <w:i/>
          <w:sz w:val="24"/>
          <w:szCs w:val="24"/>
        </w:rPr>
        <w:tab/>
        <w:t>Pleno</w:t>
      </w:r>
      <w:r w:rsidRPr="00E871B0">
        <w:rPr>
          <w:rFonts w:ascii="Arial" w:hAnsi="Arial" w:cs="Arial"/>
          <w:b/>
          <w:i/>
          <w:sz w:val="24"/>
          <w:szCs w:val="24"/>
        </w:rPr>
        <w:tab/>
        <w:t>Jurisprudencia</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Fuente:</w:t>
      </w:r>
      <w:r w:rsidRPr="00E871B0">
        <w:rPr>
          <w:rFonts w:ascii="Arial" w:hAnsi="Arial" w:cs="Arial"/>
          <w:b/>
          <w:i/>
          <w:sz w:val="24"/>
          <w:szCs w:val="24"/>
        </w:rPr>
        <w:tab/>
        <w:t>Semanario Judicial de la Federación y su Gaceta</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Tomo XXIV, Octubre de 2006</w:t>
      </w:r>
      <w:r w:rsidRPr="00E871B0">
        <w:rPr>
          <w:rFonts w:ascii="Arial" w:hAnsi="Arial" w:cs="Arial"/>
          <w:b/>
          <w:i/>
          <w:sz w:val="24"/>
          <w:szCs w:val="24"/>
        </w:rPr>
        <w:tab/>
        <w:t>Materia(s): Constitucional</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Tesis:</w:t>
      </w:r>
      <w:r w:rsidRPr="00E871B0">
        <w:rPr>
          <w:rFonts w:ascii="Arial" w:hAnsi="Arial" w:cs="Arial"/>
          <w:b/>
          <w:i/>
          <w:sz w:val="24"/>
          <w:szCs w:val="24"/>
        </w:rPr>
        <w:tab/>
        <w:t>P</w:t>
      </w:r>
      <w:proofErr w:type="gramStart"/>
      <w:r w:rsidRPr="00E871B0">
        <w:rPr>
          <w:rFonts w:ascii="Arial" w:hAnsi="Arial" w:cs="Arial"/>
          <w:b/>
          <w:i/>
          <w:sz w:val="24"/>
          <w:szCs w:val="24"/>
        </w:rPr>
        <w:t>./</w:t>
      </w:r>
      <w:proofErr w:type="gramEnd"/>
      <w:r w:rsidRPr="00E871B0">
        <w:rPr>
          <w:rFonts w:ascii="Arial" w:hAnsi="Arial" w:cs="Arial"/>
          <w:b/>
          <w:i/>
          <w:sz w:val="24"/>
          <w:szCs w:val="24"/>
        </w:rPr>
        <w:t>J. 113/2006</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Página:</w:t>
      </w:r>
      <w:r w:rsidRPr="00E871B0">
        <w:rPr>
          <w:rFonts w:ascii="Arial" w:hAnsi="Arial" w:cs="Arial"/>
          <w:b/>
          <w:i/>
          <w:sz w:val="24"/>
          <w:szCs w:val="24"/>
        </w:rPr>
        <w:tab/>
        <w:t>1127</w:t>
      </w: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HACIENDA MUNICIPAL. EL GRADO DE DISTANCIAMIENTO FRENTE A LA PROPUESTA DE INGRESOS ENVIADA POR EL MUNICIPIO Y LA EXISTENCIA Y GRADO DE MOTIVACIÓN EN LA INICIATIVA PRESENTADA POR ÉSTE, SON PARÁMETROS PARA EVALUAR LA MOTIVACIÓN ADECUADA EXIGIBLE A LAS LEGISLATURAS ESTATALES CUANDO SE APARTAN DE LAS PROPUESTAS MUNICIPALES.</w:t>
      </w: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i/>
          <w:sz w:val="24"/>
          <w:szCs w:val="24"/>
        </w:rPr>
      </w:pPr>
      <w:r w:rsidRPr="00E871B0">
        <w:rPr>
          <w:rFonts w:ascii="Arial" w:hAnsi="Arial" w:cs="Arial"/>
          <w:i/>
          <w:sz w:val="24"/>
          <w:szCs w:val="24"/>
        </w:rPr>
        <w:t xml:space="preserve">La vinculación existente en el proceso legislativo entre las facultades del Municipio y de la Legislatura Local en torno a los ingresos municipales a que se refiere la fracción IV del artículo 115 de la Constitución Política de los Estados Unidos Mexicanos, debe desenvolverse como un auténtico diálogo en el que existe un ejercicio alternativo de facultades y de razonamientos, de manera que el principio de motivación objetiva y razonable reconocido como un límite a la libertad de configuración de los tributos por parte del legislador, debe guiarse por ciertos parámetros a fin de encontrar una motivación adecuada y proporcional en cada caso concreto, toda vez que el estándar de motivación exigible a los Congresos Locales dependerá de las circunstancias en que se desarrolle dialécticamente el procedimiento legislativo. En este orden de ideas, este Alto Tribunal considera que algunos ejes que pueden brindar parámetros para guiar la ponderación y dar el peso constitucional adecuado a dichas </w:t>
      </w:r>
      <w:r w:rsidRPr="00E871B0">
        <w:rPr>
          <w:rFonts w:ascii="Arial" w:hAnsi="Arial" w:cs="Arial"/>
          <w:i/>
          <w:sz w:val="24"/>
          <w:szCs w:val="24"/>
        </w:rPr>
        <w:lastRenderedPageBreak/>
        <w:t>facultades son: 1) Grado de distanciamiento frente a la propuesta de ingresos enviada por el Municipio, que implica que en la medida en que exista mayor distanciamiento y redunde en la afectación de la recaudación del mencionado nivel de gobierno, se generará una obligación del Congreso del Estado de formular argumentos cualitativamente superiores, independientemente de la existencia, inexistencia, abundancia o escasez de los motivos externados por el Municipio; y, 2) Existencia y grado de motivación en la iniciativa presentada por el Municipio, respecto del cual debe destacarse que de acuerdo con la diversidad geográfica, social, cultural, de vocación económica de los Municipios que integran el país y sus capacidades económicas y técnicas, en el desarrollo del ejercicio de la facultad de iniciativa pueden presentarse básicamente tres situaciones que, atendiendo al principio de razonabilidad, incidirán en el grado sustancial de motivación exigible a los Congresos, la cual debe ser adecuada a cada caso: a) Ausencia de motivación. Si bien la motivación de las iniciativas de las leyes de ingresos de los Municipios no es un requisito constitucional, esto no implica que deba caerse en el extremo de exigir una decisión parlamentaria que pondere circunstancias que no fueron aducidas por los Municipios para dar sustento a su propuesta, por lo que la labor del Congreso se simplificará y sólo deberá expresar en forma concisa pero racional, los motivos por los cuales se deniega o modifica la propuesta del Municipio; b) Motivación básica. Puede suceder que se ofrezca una motivación elemental o limitada a las propuestas de leyes de ingresos, en cuyo caso, en virtud de que los Municipios han aportado un primer elemento para el proceso dialéctico legislativo, el parámetro de motivación por parte de las Legislaturas Estatales se incrementa en relación con el inciso anterior, surgiendo una obligación de formular argumentos que desvirtúen las propuestas de los Municipios, a partir de los aportados por éstos; y, c) Motivación técnica. En otros casos se formularán iniciativas con razonamientos pormenorizados basados en argumentos de política tributaria y con un importante sustento técnico para justificar los elementos de su propuesta; frente a este escenario, se incrementa el estándar de motivación y el Congreso del Estado se verá obligado a desvirtuar con argumentos técnicos equivalentes o de política tributaria la proposición del Municipio y la necesidad de apartarse de ella.</w:t>
      </w: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Época: Novena Época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Registro: 174091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Instancia: Pleno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Tipo de Tesis: Jurisprudencia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Fuente: Semanario Judicial de la Federación y su Gaceta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Tomo XXIV, Octubre de 2006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Materia(s): Constitucional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Tesis: P</w:t>
      </w:r>
      <w:proofErr w:type="gramStart"/>
      <w:r w:rsidRPr="00E871B0">
        <w:rPr>
          <w:rFonts w:ascii="Arial" w:hAnsi="Arial" w:cs="Arial"/>
          <w:b/>
          <w:i/>
          <w:sz w:val="24"/>
          <w:szCs w:val="24"/>
        </w:rPr>
        <w:t>./</w:t>
      </w:r>
      <w:proofErr w:type="gramEnd"/>
      <w:r w:rsidRPr="00E871B0">
        <w:rPr>
          <w:rFonts w:ascii="Arial" w:hAnsi="Arial" w:cs="Arial"/>
          <w:b/>
          <w:i/>
          <w:sz w:val="24"/>
          <w:szCs w:val="24"/>
        </w:rPr>
        <w:t xml:space="preserve">J. 111/2006 </w:t>
      </w: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t xml:space="preserve">Página: 1129 </w:t>
      </w: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b/>
          <w:i/>
          <w:sz w:val="24"/>
          <w:szCs w:val="24"/>
        </w:rPr>
      </w:pPr>
      <w:r w:rsidRPr="00E871B0">
        <w:rPr>
          <w:rFonts w:ascii="Arial" w:hAnsi="Arial" w:cs="Arial"/>
          <w:b/>
          <w:i/>
          <w:sz w:val="24"/>
          <w:szCs w:val="24"/>
        </w:rPr>
        <w:lastRenderedPageBreak/>
        <w:t>HACIENDA MUNICIPAL. EN EL CASO DE LOS TRIBUTOS A QUE SE REFIERE LA FRACCIÓN IV DEL ARTÍCULO 115 DE LA CONSTITUCIÓN POLÍTICA DE LOS ESTADOS UNIDOS MEXICANOS, EXISTE UNA POTESTAD TRIBUTARIA COMPARTIDA ENTRE LOS MUNICIPIOS Y EL ESTADO EN EL PROCESO DE SU FIJACIÓN.</w:t>
      </w:r>
    </w:p>
    <w:p w:rsidR="00E63DEF" w:rsidRPr="00E871B0" w:rsidRDefault="00E63DEF" w:rsidP="00E63DEF">
      <w:pPr>
        <w:ind w:left="708"/>
        <w:rPr>
          <w:rFonts w:ascii="Arial" w:hAnsi="Arial" w:cs="Arial"/>
          <w:b/>
          <w:i/>
          <w:sz w:val="24"/>
          <w:szCs w:val="24"/>
        </w:rPr>
      </w:pPr>
    </w:p>
    <w:p w:rsidR="00E63DEF" w:rsidRPr="00E871B0" w:rsidRDefault="00E63DEF" w:rsidP="00E63DEF">
      <w:pPr>
        <w:ind w:left="708"/>
        <w:rPr>
          <w:rFonts w:ascii="Arial" w:hAnsi="Arial" w:cs="Arial"/>
          <w:sz w:val="24"/>
          <w:szCs w:val="24"/>
          <w:highlight w:val="yellow"/>
        </w:rPr>
      </w:pPr>
      <w:r w:rsidRPr="00E871B0">
        <w:rPr>
          <w:rFonts w:ascii="Arial" w:hAnsi="Arial" w:cs="Arial"/>
          <w:i/>
          <w:sz w:val="24"/>
          <w:szCs w:val="24"/>
        </w:rPr>
        <w:t>La regulación de las cuotas y tarifas aplicables a impuestos, derechos, contribuciones de mejoras y las tablas de valores unitarios de suelo y construcciones que sirvan de base para el cobro de las contribuciones sobre la propiedad inmobiliaria, es el resultado de un proceso legislativo distinto al ordinario: mientras en éste la facultad de iniciativa legislativa se agota con la presentación del documento ante la Cámara decisoria, en aquél la propuesta del Municipio sólo puede modificarse por la Legislatura Estatal con base en un proceso de reflexión apoyado en argumentos sustentados de manera objetiva y razonable, por lo que es válido afirmar que se trata de una potestad tributaria compartida, toda vez que en los supuestos señalados por la fracción IV del artículo 115 de la Constitución Política de los Estados Unidos Mexicanos, la potestad tributaria originalmente reservada para el órgano legislativo, conforme al artículo 31, fracción IV, de la Constitución Federal, se complementa con los principios de fortalecimiento municipal y reserva de fuentes, y con la norma expresa que le otorga la facultad de iniciativa; de ahí que, aun cuando la decisión final sigue correspondiendo a la Legislatura, ésta se encuentra condicionada por la Norma Fundamental a dar el peso suficiente a la facultad del Municipio, lo cual se concreta en la motivación que tendrá que sustentar en el caso de que se aparte de la propuesta municipal.</w:t>
      </w:r>
    </w:p>
    <w:p w:rsidR="00E63DEF" w:rsidRPr="00E871B0" w:rsidRDefault="00E63DEF" w:rsidP="00E63DEF">
      <w:pPr>
        <w:rPr>
          <w:rFonts w:ascii="Arial" w:hAnsi="Arial" w:cs="Arial"/>
          <w:sz w:val="24"/>
          <w:szCs w:val="24"/>
          <w:highlight w:val="yellow"/>
        </w:rPr>
      </w:pPr>
    </w:p>
    <w:p w:rsidR="00E63DEF" w:rsidRPr="00E871B0" w:rsidRDefault="00E63DEF" w:rsidP="00E63DEF">
      <w:pPr>
        <w:ind w:right="49"/>
        <w:rPr>
          <w:rFonts w:ascii="Arial" w:hAnsi="Arial" w:cs="Arial"/>
          <w:b/>
          <w:sz w:val="24"/>
          <w:szCs w:val="24"/>
        </w:rPr>
      </w:pPr>
      <w:r>
        <w:rPr>
          <w:rFonts w:ascii="Arial" w:eastAsiaTheme="minorHAnsi" w:hAnsi="Arial" w:cs="Arial"/>
          <w:b/>
          <w:sz w:val="24"/>
          <w:szCs w:val="24"/>
        </w:rPr>
        <w:t>CUARTO</w:t>
      </w:r>
      <w:r w:rsidRPr="00E871B0">
        <w:rPr>
          <w:rFonts w:ascii="Arial" w:eastAsiaTheme="minorHAnsi" w:hAnsi="Arial" w:cs="Arial"/>
          <w:b/>
          <w:sz w:val="24"/>
          <w:szCs w:val="24"/>
        </w:rPr>
        <w:t xml:space="preserve">. </w:t>
      </w:r>
      <w:r w:rsidRPr="00E871B0">
        <w:rPr>
          <w:rFonts w:ascii="Arial" w:hAnsi="Arial" w:cs="Arial"/>
          <w:sz w:val="24"/>
          <w:szCs w:val="24"/>
          <w:lang w:val="es-ES_tradnl"/>
        </w:rPr>
        <w:t>Por último y no por esto menos importante, se solicita a esta soberanía, a fin de respetar y hacer efectivos los derechos económicos del municipio, previstos por el artículo 115 de la Constitución General de la República, a saber: de integridad; reserva de destino y libre administración hacendaria, se propone se deroguen las exenciones, subsidios o tratos diferenciales a grupos de contribuyentes contenidos en otras leyes; con ello, se fortalecerán las potencialidades de las contribuciones atribuidas a este ámbito de gobierno y se eliminarían las diferencias inequitativas de tratamientos fiscales que permiten que otros grupos de contribuyentes no considerados en los tratamientos fiscales especiales, acudan a las instancias jurisdiccionales a solicitar un tratamiento equitativo, con ello, beneficiando a un grupo de contribuyentes no previsto o que socialmente esta soberanía no considera acreedores a un tratamiento diferencial, aparejando con esto una distorsión en el subsidio fiscal y un deterioro o detrimento de las finanzas públicas municipales.</w:t>
      </w:r>
    </w:p>
    <w:p w:rsidR="00E63DEF" w:rsidRPr="00E871B0" w:rsidRDefault="00E63DEF" w:rsidP="00E63DEF">
      <w:pPr>
        <w:pStyle w:val="Textosinformato"/>
        <w:ind w:right="49"/>
        <w:jc w:val="both"/>
        <w:rPr>
          <w:rFonts w:ascii="Arial" w:hAnsi="Arial" w:cs="Arial"/>
          <w:sz w:val="24"/>
          <w:szCs w:val="24"/>
        </w:rPr>
      </w:pPr>
    </w:p>
    <w:p w:rsidR="00E63DEF" w:rsidRDefault="00E63DEF" w:rsidP="00E63DEF">
      <w:pPr>
        <w:shd w:val="clear" w:color="auto" w:fill="FFFFFF" w:themeFill="background1"/>
        <w:rPr>
          <w:rFonts w:ascii="Arial" w:hAnsi="Arial" w:cs="Arial"/>
          <w:sz w:val="24"/>
          <w:szCs w:val="24"/>
        </w:rPr>
      </w:pPr>
      <w:r w:rsidRPr="00E871B0">
        <w:rPr>
          <w:rFonts w:ascii="Arial" w:hAnsi="Arial" w:cs="Arial"/>
          <w:sz w:val="24"/>
          <w:szCs w:val="24"/>
        </w:rPr>
        <w:t>Por lo anterior, se somete a la consideración del H. Congreso del Estado de Jalisco, la siguiente iniciativa de:</w:t>
      </w:r>
    </w:p>
    <w:p w:rsidR="00976705" w:rsidRDefault="00976705"/>
    <w:p w:rsidR="00DA389F" w:rsidRPr="006B7EB5" w:rsidRDefault="00DA389F" w:rsidP="00DA389F">
      <w:pPr>
        <w:spacing w:after="200" w:line="360" w:lineRule="auto"/>
        <w:rPr>
          <w:rFonts w:ascii="Arial" w:hAnsi="Arial" w:cs="Arial"/>
          <w:sz w:val="24"/>
          <w:szCs w:val="24"/>
        </w:rPr>
      </w:pPr>
    </w:p>
    <w:p w:rsidR="00DA389F" w:rsidRPr="006B7EB5" w:rsidRDefault="00DA389F" w:rsidP="00E674CE">
      <w:pPr>
        <w:autoSpaceDE w:val="0"/>
        <w:autoSpaceDN w:val="0"/>
        <w:adjustRightInd w:val="0"/>
        <w:spacing w:line="360" w:lineRule="auto"/>
        <w:jc w:val="center"/>
        <w:rPr>
          <w:rFonts w:ascii="Arial" w:hAnsi="Arial" w:cs="Arial"/>
          <w:b/>
          <w:bCs/>
          <w:sz w:val="24"/>
          <w:szCs w:val="24"/>
        </w:rPr>
      </w:pPr>
      <w:r w:rsidRPr="006B7EB5">
        <w:rPr>
          <w:rFonts w:ascii="Arial" w:hAnsi="Arial" w:cs="Arial"/>
          <w:b/>
          <w:bCs/>
          <w:sz w:val="24"/>
          <w:szCs w:val="24"/>
        </w:rPr>
        <w:lastRenderedPageBreak/>
        <w:t>LEY DE INGRESOS DEL MUNICIPIO DE ATENGO, JALISCO,</w:t>
      </w:r>
    </w:p>
    <w:p w:rsidR="00DA389F" w:rsidRPr="006B7EB5" w:rsidRDefault="00DA389F" w:rsidP="00DA389F">
      <w:pPr>
        <w:autoSpaceDE w:val="0"/>
        <w:autoSpaceDN w:val="0"/>
        <w:adjustRightInd w:val="0"/>
        <w:spacing w:line="360" w:lineRule="auto"/>
        <w:jc w:val="center"/>
        <w:rPr>
          <w:rFonts w:ascii="Arial" w:hAnsi="Arial" w:cs="Arial"/>
          <w:b/>
          <w:bCs/>
          <w:sz w:val="24"/>
          <w:szCs w:val="24"/>
        </w:rPr>
      </w:pPr>
      <w:r w:rsidRPr="006B7EB5">
        <w:rPr>
          <w:rFonts w:ascii="Arial" w:hAnsi="Arial" w:cs="Arial"/>
          <w:b/>
          <w:bCs/>
          <w:sz w:val="24"/>
          <w:szCs w:val="24"/>
        </w:rPr>
        <w:t xml:space="preserve">PARA EL EJERCICIO FISCAL DEL AÑO </w:t>
      </w:r>
      <w:r>
        <w:rPr>
          <w:rFonts w:ascii="Arial" w:hAnsi="Arial" w:cs="Arial"/>
          <w:b/>
          <w:bCs/>
          <w:sz w:val="24"/>
          <w:szCs w:val="24"/>
        </w:rPr>
        <w:t>2018</w:t>
      </w:r>
    </w:p>
    <w:p w:rsidR="00DA389F" w:rsidRPr="006B7EB5" w:rsidRDefault="00DA389F" w:rsidP="00DA389F">
      <w:pPr>
        <w:autoSpaceDE w:val="0"/>
        <w:autoSpaceDN w:val="0"/>
        <w:adjustRightInd w:val="0"/>
        <w:spacing w:line="360" w:lineRule="auto"/>
        <w:ind w:right="-658"/>
        <w:jc w:val="center"/>
        <w:rPr>
          <w:rFonts w:ascii="Arial" w:hAnsi="Arial" w:cs="Arial"/>
          <w:b/>
          <w:bCs/>
          <w:sz w:val="24"/>
          <w:szCs w:val="24"/>
        </w:rPr>
      </w:pPr>
    </w:p>
    <w:p w:rsidR="00DA389F" w:rsidRPr="006B7EB5" w:rsidRDefault="00DA389F" w:rsidP="00DA389F">
      <w:pPr>
        <w:autoSpaceDE w:val="0"/>
        <w:autoSpaceDN w:val="0"/>
        <w:adjustRightInd w:val="0"/>
        <w:spacing w:line="360" w:lineRule="auto"/>
        <w:ind w:right="-658"/>
        <w:jc w:val="center"/>
        <w:rPr>
          <w:rFonts w:ascii="Arial" w:hAnsi="Arial" w:cs="Arial"/>
          <w:b/>
          <w:bCs/>
          <w:sz w:val="24"/>
          <w:szCs w:val="24"/>
        </w:rPr>
      </w:pPr>
      <w:r w:rsidRPr="006B7EB5">
        <w:rPr>
          <w:rFonts w:ascii="Arial" w:hAnsi="Arial" w:cs="Arial"/>
          <w:b/>
          <w:bCs/>
          <w:sz w:val="24"/>
          <w:szCs w:val="24"/>
        </w:rPr>
        <w:t>TÍTULO PRIMERO</w:t>
      </w:r>
    </w:p>
    <w:p w:rsidR="00DA389F" w:rsidRPr="006B7EB5" w:rsidRDefault="00DA389F" w:rsidP="00DA389F">
      <w:pPr>
        <w:autoSpaceDE w:val="0"/>
        <w:autoSpaceDN w:val="0"/>
        <w:adjustRightInd w:val="0"/>
        <w:spacing w:line="360" w:lineRule="auto"/>
        <w:ind w:right="-658"/>
        <w:jc w:val="center"/>
        <w:rPr>
          <w:rFonts w:ascii="Arial" w:hAnsi="Arial" w:cs="Arial"/>
          <w:b/>
          <w:bCs/>
          <w:sz w:val="24"/>
          <w:szCs w:val="24"/>
        </w:rPr>
      </w:pPr>
      <w:r w:rsidRPr="006B7EB5">
        <w:rPr>
          <w:rFonts w:ascii="Arial" w:hAnsi="Arial" w:cs="Arial"/>
          <w:b/>
          <w:bCs/>
          <w:sz w:val="24"/>
          <w:szCs w:val="24"/>
        </w:rPr>
        <w:t>DISPOSICIONES GENERALES</w:t>
      </w:r>
    </w:p>
    <w:p w:rsidR="00DA389F" w:rsidRPr="006B7EB5" w:rsidRDefault="00DA389F" w:rsidP="00DA389F">
      <w:pPr>
        <w:autoSpaceDE w:val="0"/>
        <w:autoSpaceDN w:val="0"/>
        <w:adjustRightInd w:val="0"/>
        <w:spacing w:line="360" w:lineRule="auto"/>
        <w:ind w:right="-658"/>
        <w:jc w:val="center"/>
        <w:rPr>
          <w:rFonts w:ascii="Arial" w:hAnsi="Arial" w:cs="Arial"/>
          <w:b/>
          <w:bCs/>
          <w:sz w:val="24"/>
          <w:szCs w:val="24"/>
        </w:rPr>
      </w:pPr>
    </w:p>
    <w:p w:rsidR="00DA389F" w:rsidRPr="006B7EB5" w:rsidRDefault="00DA389F" w:rsidP="00DA389F">
      <w:pPr>
        <w:autoSpaceDE w:val="0"/>
        <w:autoSpaceDN w:val="0"/>
        <w:adjustRightInd w:val="0"/>
        <w:spacing w:line="360" w:lineRule="auto"/>
        <w:ind w:right="-658"/>
        <w:jc w:val="center"/>
        <w:rPr>
          <w:rFonts w:ascii="Arial" w:hAnsi="Arial" w:cs="Arial"/>
          <w:b/>
          <w:bCs/>
          <w:sz w:val="24"/>
          <w:szCs w:val="24"/>
        </w:rPr>
      </w:pPr>
      <w:r w:rsidRPr="006B7EB5">
        <w:rPr>
          <w:rFonts w:ascii="Arial" w:hAnsi="Arial" w:cs="Arial"/>
          <w:b/>
          <w:bCs/>
          <w:sz w:val="24"/>
          <w:szCs w:val="24"/>
        </w:rPr>
        <w:t>CAPÍTULO ÚNICO</w:t>
      </w:r>
    </w:p>
    <w:p w:rsidR="00DA389F" w:rsidRPr="006B7EB5" w:rsidRDefault="00DA389F" w:rsidP="00DA389F">
      <w:pPr>
        <w:spacing w:line="360" w:lineRule="auto"/>
        <w:ind w:right="-658"/>
        <w:jc w:val="center"/>
        <w:rPr>
          <w:rFonts w:ascii="Arial" w:hAnsi="Arial" w:cs="Arial"/>
          <w:b/>
          <w:bCs/>
          <w:sz w:val="24"/>
          <w:szCs w:val="24"/>
        </w:rPr>
      </w:pPr>
      <w:r w:rsidRPr="006B7EB5">
        <w:rPr>
          <w:rFonts w:ascii="Arial" w:hAnsi="Arial" w:cs="Arial"/>
          <w:b/>
          <w:bCs/>
          <w:sz w:val="24"/>
          <w:szCs w:val="24"/>
        </w:rPr>
        <w:t xml:space="preserve">DE </w:t>
      </w:r>
      <w:smartTag w:uri="urn:schemas-microsoft-com:office:smarttags" w:element="PersonName">
        <w:smartTagPr>
          <w:attr w:name="ProductID" w:val="LA PERCEPCIￓN DE"/>
        </w:smartTagPr>
        <w:r w:rsidRPr="006B7EB5">
          <w:rPr>
            <w:rFonts w:ascii="Arial" w:hAnsi="Arial" w:cs="Arial"/>
            <w:b/>
            <w:bCs/>
            <w:sz w:val="24"/>
            <w:szCs w:val="24"/>
          </w:rPr>
          <w:t>LA PERCEPCIÓN DE</w:t>
        </w:r>
      </w:smartTag>
      <w:r w:rsidRPr="006B7EB5">
        <w:rPr>
          <w:rFonts w:ascii="Arial" w:hAnsi="Arial" w:cs="Arial"/>
          <w:b/>
          <w:bCs/>
          <w:sz w:val="24"/>
          <w:szCs w:val="24"/>
        </w:rPr>
        <w:t xml:space="preserve"> LOS INGRESOS Y DEFINICIONES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1.- Durante el ejercicio fiscal comprendido del 1° de enero al 31 de diciembre del </w:t>
      </w:r>
      <w:r>
        <w:rPr>
          <w:rFonts w:ascii="Arial" w:hAnsi="Arial" w:cs="Arial"/>
          <w:sz w:val="24"/>
          <w:szCs w:val="24"/>
        </w:rPr>
        <w:t>2018</w:t>
      </w:r>
      <w:r w:rsidRPr="006B7EB5">
        <w:rPr>
          <w:rFonts w:ascii="Arial" w:hAnsi="Arial" w:cs="Arial"/>
          <w:sz w:val="24"/>
          <w:szCs w:val="24"/>
        </w:rPr>
        <w:t xml:space="preserve">, </w:t>
      </w:r>
      <w:smartTag w:uri="urn:schemas-microsoft-com:office:smarttags" w:element="PersonName">
        <w:smartTagPr>
          <w:attr w:name="ProductID" w:val="la Hacienda P￺blica"/>
        </w:smartTagPr>
        <w:r w:rsidRPr="006B7EB5">
          <w:rPr>
            <w:rFonts w:ascii="Arial" w:hAnsi="Arial" w:cs="Arial"/>
            <w:sz w:val="24"/>
            <w:szCs w:val="24"/>
          </w:rPr>
          <w:t>la Hacienda Pública</w:t>
        </w:r>
      </w:smartTag>
      <w:r w:rsidRPr="006B7EB5">
        <w:rPr>
          <w:rFonts w:ascii="Arial" w:hAnsi="Arial" w:cs="Arial"/>
          <w:sz w:val="24"/>
          <w:szCs w:val="24"/>
        </w:rPr>
        <w:t xml:space="preserve"> de este Municipio, percibirá los ingresos por concepto de impuestos, contribuciones de mejora, derechos, productos, aprovechamientos, ingresos por ventas de bienes y servicios, participaciones y aportaciones federales, transferencias, asignaciones, subsidios y otras ayudas, así como ingresos derivados de financiamientos, conforme a las tasas, cuotas, y tarifas que en esta Ley se establecen.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b/>
          <w:sz w:val="24"/>
          <w:szCs w:val="24"/>
        </w:rPr>
      </w:pPr>
      <w:r w:rsidRPr="006B7EB5">
        <w:rPr>
          <w:rFonts w:ascii="Arial" w:hAnsi="Arial" w:cs="Arial"/>
          <w:sz w:val="24"/>
          <w:szCs w:val="24"/>
        </w:rPr>
        <w:t xml:space="preserve">Los ingresos estimados de este Municipio para el ejercicio fiscal </w:t>
      </w:r>
      <w:r>
        <w:rPr>
          <w:rFonts w:ascii="Arial" w:hAnsi="Arial" w:cs="Arial"/>
          <w:sz w:val="24"/>
          <w:szCs w:val="24"/>
        </w:rPr>
        <w:t>2018</w:t>
      </w:r>
      <w:r w:rsidRPr="006B7EB5">
        <w:rPr>
          <w:rFonts w:ascii="Arial" w:hAnsi="Arial" w:cs="Arial"/>
          <w:sz w:val="24"/>
          <w:szCs w:val="24"/>
        </w:rPr>
        <w:t xml:space="preserve"> ascienden a la cantidad de </w:t>
      </w:r>
      <w:r w:rsidR="00195260" w:rsidRPr="00195260">
        <w:rPr>
          <w:rFonts w:ascii="Arial" w:hAnsi="Arial" w:cs="Arial"/>
          <w:b/>
          <w:sz w:val="24"/>
          <w:szCs w:val="24"/>
        </w:rPr>
        <w:t>$41’427,287.21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Esta Ley se integra en las clasificaciones siguientes:</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2127"/>
        <w:gridCol w:w="1984"/>
      </w:tblGrid>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RUBRO</w:t>
            </w:r>
          </w:p>
        </w:tc>
        <w:tc>
          <w:tcPr>
            <w:tcW w:w="1984"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TIPO</w:t>
            </w:r>
          </w:p>
        </w:tc>
        <w:tc>
          <w:tcPr>
            <w:tcW w:w="2127"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ESTIMACIÓN (PESOS)</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IMPUESTOS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$1,035,751.50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IMPUESTOS SOBRE LOS INGRESOS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 SOBRE ESPECTÁCULOS PÚBLICOS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IMPUESTOS SOBRE EL PATRIMONIO</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 PREDIAL</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$846,217.05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 xml:space="preserve">IMPUESTOS SOBRE LA PRODUCCIÓN, </w:t>
            </w:r>
            <w:r w:rsidRPr="0007058E">
              <w:rPr>
                <w:rFonts w:ascii="Arial" w:hAnsi="Arial" w:cs="Arial"/>
                <w:sz w:val="18"/>
                <w:szCs w:val="18"/>
              </w:rPr>
              <w:lastRenderedPageBreak/>
              <w:t>EL CONSUMO Y LAS TRANSACCIONES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 SOBRE TRANSMISIONES PATRIMONIALES</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$174,249.60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 SOBRE NEGOCIOS JURÍDICOS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OTROS IMPUESTOS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IMPUESTOS EXTRAORDINARIOS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ACCESORIOS DE LOS IMPUESTOS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$15,284.85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CONTRIBUCIONES DE MEJORAS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 LAS CONTRIBUCIONES DE MEJORAS POR OBRAS PÚBLICAS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DERECHOS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$733,608.75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DERECHOS POR EL USO, GOCE, APROVECHAMIENTO O EXPLOTACIÓN DE BIENES DE DOMINIO PÚBLICO</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DEL USO DE PISO</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$11,340.00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 LOS ESTACIONAMIENTOS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 LOS CEMENTERIOS DE DOMINIO PÚBLICO</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$15,876.00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DERECHOS POR PRESTACIÓN DE SERVICIOS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LICENCIAS Y PERMISOS DE GIROS</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$113,400.00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LICENCIAS Y PERMISOS PARA ANUNCIOS</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$5,670.00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LICENCIAS DE CONSTRUCCIÓN, RECONSTRUCCIÓN, REPARACIÓN O DEMOLICIÓN DE OBRAS</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$6,729.45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REGULARIZACIONES DE LOS REGISTROS DE OBRA</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ALINEAMIENTO, DESIGNACIÓN DE NÚMERO OFICIAL E INSPECCIÓN</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$1,558.20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LICENCIAS DE URBANIZACIÓN</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$3,453.45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LICENCIAS DE CAMBIO DE RÉGIMEN DE PROPIEDAD</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SERVICIOS DE OBRA</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SERVICIOS DE SANIDAD</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$2,568.30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SERVICIOS DE LIMPIA, RECOLECCIÓN, TRASLADO, TRATAMIENTO Y DISPOSICIÓN FINAL DE RESIDUOS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AGUA POTABLE Y ALCANTARILLADO</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$410,815.65</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RASTRO</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REGISTRO CIVIL</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$4,414.20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CERTIFICACIONES</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$95,676.00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SERVICIOS DE CATASTRO</w:t>
            </w: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$30,628.50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OTROS DERECHOS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$31,479.00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DERECHOS NO ESPECIFICADOS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ACCESORIOS DE LOS DERECHOS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PRODUCTOS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$520,581.60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 LOS PRODUCTOS DE TIPO CORRIENTE</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$520,581.60</w:t>
            </w: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DEL USO, GOCE, APROVECHAMIENTO O EXPLOTACIÓN DE BIENES DE DOMINIO PRIVADO</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DE LOS CEMENTERIOS DE DOMINIO PRIVADO</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PRODUCTOS DIVERSOS</w:t>
            </w: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PRODUCTOS DE CAPITAL</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APROVECHAMIENTOS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APROVECHAMIENTOS DE TIPO CORRIENTE</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APROVECHAMIENTOS DE CAPITAL</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INGRESOS POR VENTAS DE BIENES Y SERVICIOS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INGRESOS POR VENTAS DE BIENES Y SERVICIOS DE ORGANISMOS PARAMUNICIPALES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PARTICIPACIONES Y APORTACIONES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195260" w:rsidRPr="00195260" w:rsidRDefault="00195260" w:rsidP="00195260">
            <w:pPr>
              <w:rPr>
                <w:rFonts w:ascii="Arial Narrow" w:eastAsia="Times New Roman" w:hAnsi="Arial Narrow" w:cs="Arial"/>
                <w:b/>
                <w:sz w:val="21"/>
                <w:szCs w:val="21"/>
              </w:rPr>
            </w:pPr>
            <w:r w:rsidRPr="00195260">
              <w:rPr>
                <w:rFonts w:ascii="Arial Narrow" w:hAnsi="Arial Narrow" w:cs="Arial"/>
                <w:b/>
                <w:sz w:val="21"/>
                <w:szCs w:val="21"/>
              </w:rPr>
              <w:t>$39’043,214.36</w:t>
            </w:r>
          </w:p>
          <w:p w:rsidR="00DA389F" w:rsidRPr="0007058E" w:rsidRDefault="00DA389F" w:rsidP="00DA389F">
            <w:pPr>
              <w:spacing w:line="360" w:lineRule="auto"/>
              <w:rPr>
                <w:rFonts w:ascii="Arial" w:hAnsi="Arial" w:cs="Arial"/>
                <w:b/>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PARTICIPACIONES FEDERALES Y ESTATALES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195260" w:rsidRDefault="00195260" w:rsidP="00195260">
            <w:pPr>
              <w:rPr>
                <w:rFonts w:eastAsia="Times New Roman"/>
                <w:color w:val="000000"/>
              </w:rPr>
            </w:pPr>
            <w:r>
              <w:rPr>
                <w:color w:val="000000"/>
              </w:rPr>
              <w:t>$28’922,585.10</w:t>
            </w:r>
          </w:p>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APORTACIONES FEDERALES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195260" w:rsidRDefault="00195260" w:rsidP="00195260">
            <w:pPr>
              <w:rPr>
                <w:rFonts w:eastAsia="Times New Roman"/>
                <w:color w:val="000000"/>
              </w:rPr>
            </w:pPr>
            <w:r>
              <w:rPr>
                <w:color w:val="000000"/>
              </w:rPr>
              <w:t>$10’120,629.26</w:t>
            </w:r>
          </w:p>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TRANSFERENCIAS, ASIGNACIONES, SUBSIDIOS Y OTRAS AYUDAS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TRANSFERENCIAS INTERNAS Y ASIGNACIONES AL SECTOR PÚBLICO</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SUBSIDIOS Y SUBVENCIONES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AYUDAS SOCIALES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TRANSFERENCIAS A FIDEICOMISOS, MANDATOS Y ANÁLOGOS</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INGRESOS DERIVADOS DE FINANCIAMIENTOS</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p>
        </w:tc>
        <w:tc>
          <w:tcPr>
            <w:tcW w:w="1984" w:type="dxa"/>
          </w:tcPr>
          <w:p w:rsidR="00DA389F" w:rsidRPr="0007058E" w:rsidRDefault="00DA389F" w:rsidP="00DA389F">
            <w:pPr>
              <w:spacing w:line="360" w:lineRule="auto"/>
              <w:rPr>
                <w:rFonts w:ascii="Arial" w:hAnsi="Arial" w:cs="Arial"/>
                <w:sz w:val="18"/>
                <w:szCs w:val="18"/>
              </w:rPr>
            </w:pPr>
            <w:r w:rsidRPr="0007058E">
              <w:rPr>
                <w:rFonts w:ascii="Arial" w:hAnsi="Arial" w:cs="Arial"/>
                <w:sz w:val="18"/>
                <w:szCs w:val="18"/>
              </w:rPr>
              <w:t>ENDEUDAMIENTO INTERNO</w:t>
            </w: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DA389F" w:rsidRPr="0007058E" w:rsidRDefault="00DA389F" w:rsidP="00DA389F">
            <w:pPr>
              <w:spacing w:line="360" w:lineRule="auto"/>
              <w:rPr>
                <w:rFonts w:ascii="Arial" w:hAnsi="Arial" w:cs="Arial"/>
                <w:sz w:val="18"/>
                <w:szCs w:val="18"/>
              </w:rPr>
            </w:pPr>
          </w:p>
        </w:tc>
      </w:tr>
      <w:tr w:rsidR="00DA389F" w:rsidRPr="0007058E" w:rsidTr="00DA389F">
        <w:tc>
          <w:tcPr>
            <w:tcW w:w="1985" w:type="dxa"/>
          </w:tcPr>
          <w:p w:rsidR="00DA389F" w:rsidRPr="0007058E" w:rsidRDefault="00DA389F" w:rsidP="00DA389F">
            <w:pPr>
              <w:spacing w:line="360" w:lineRule="auto"/>
              <w:rPr>
                <w:rFonts w:ascii="Arial" w:hAnsi="Arial" w:cs="Arial"/>
                <w:b/>
                <w:sz w:val="18"/>
                <w:szCs w:val="18"/>
              </w:rPr>
            </w:pPr>
            <w:r w:rsidRPr="0007058E">
              <w:rPr>
                <w:rFonts w:ascii="Arial" w:hAnsi="Arial" w:cs="Arial"/>
                <w:b/>
                <w:sz w:val="18"/>
                <w:szCs w:val="18"/>
              </w:rPr>
              <w:t>TOTAL ESTIMADO</w:t>
            </w:r>
          </w:p>
        </w:tc>
        <w:tc>
          <w:tcPr>
            <w:tcW w:w="1984" w:type="dxa"/>
          </w:tcPr>
          <w:p w:rsidR="00DA389F" w:rsidRPr="0007058E" w:rsidRDefault="00DA389F" w:rsidP="00DA389F">
            <w:pPr>
              <w:spacing w:line="360" w:lineRule="auto"/>
              <w:rPr>
                <w:rFonts w:ascii="Arial" w:hAnsi="Arial" w:cs="Arial"/>
                <w:sz w:val="18"/>
                <w:szCs w:val="18"/>
              </w:rPr>
            </w:pPr>
          </w:p>
        </w:tc>
        <w:tc>
          <w:tcPr>
            <w:tcW w:w="2127" w:type="dxa"/>
          </w:tcPr>
          <w:p w:rsidR="00DA389F" w:rsidRPr="0007058E" w:rsidRDefault="00DA389F" w:rsidP="00DA389F">
            <w:pPr>
              <w:spacing w:line="360" w:lineRule="auto"/>
              <w:rPr>
                <w:rFonts w:ascii="Arial" w:hAnsi="Arial" w:cs="Arial"/>
                <w:sz w:val="18"/>
                <w:szCs w:val="18"/>
              </w:rPr>
            </w:pPr>
          </w:p>
        </w:tc>
        <w:tc>
          <w:tcPr>
            <w:tcW w:w="1984" w:type="dxa"/>
          </w:tcPr>
          <w:p w:rsidR="00195260" w:rsidRPr="00195260" w:rsidRDefault="00DA389F" w:rsidP="00195260">
            <w:pPr>
              <w:spacing w:line="360" w:lineRule="auto"/>
              <w:rPr>
                <w:rFonts w:ascii="Arial" w:hAnsi="Arial" w:cs="Arial"/>
                <w:b/>
                <w:sz w:val="18"/>
                <w:szCs w:val="18"/>
              </w:rPr>
            </w:pPr>
            <w:bookmarkStart w:id="1" w:name="_Hlk490669187"/>
            <w:r>
              <w:rPr>
                <w:rFonts w:ascii="Arial" w:hAnsi="Arial" w:cs="Arial"/>
                <w:b/>
                <w:sz w:val="18"/>
                <w:szCs w:val="18"/>
              </w:rPr>
              <w:t>$</w:t>
            </w:r>
            <w:r w:rsidR="00195260">
              <w:rPr>
                <w:b/>
                <w:bCs/>
                <w:color w:val="000000"/>
              </w:rPr>
              <w:t>41’427,287.21</w:t>
            </w:r>
          </w:p>
          <w:bookmarkEnd w:id="1"/>
          <w:p w:rsidR="00DA389F" w:rsidRPr="0007058E" w:rsidRDefault="00DA389F" w:rsidP="00DA389F">
            <w:pPr>
              <w:spacing w:line="360" w:lineRule="auto"/>
              <w:rPr>
                <w:rFonts w:ascii="Arial" w:hAnsi="Arial" w:cs="Arial"/>
                <w:b/>
                <w:sz w:val="18"/>
                <w:szCs w:val="18"/>
              </w:rPr>
            </w:pP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2.- Los impuestos por concepto de actividades comerciales, industriales y de prestación de servicios, diversiones públicas y sobre posesión y explotación de carros fúnebres, que son objeto del Convenio de Adhesión al Sistema Nacional de Coordinación Fiscal, subscrito por la Federación y el Estado de Jalisco, quedarán en suspenso, en tanto subsista la vigencia de dicho convenio.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Quedarán igualmente en suspenso, en tanto subsista la vigencia de la Declaratoria de Coordinación y el decreto 15432 que emite el Poder Legislativo del Congreso del Estado, los derechos citados en el artículo 132 de la Ley de Hacienda Municipal del Estado de Jalisco en sus fracciones I, II, III y IX. De igual forma aquellos que como aportaciones, donativos u otro cualquiera que sea su denominación condicionen el ejercicio de actividades comerciales, industriales y prestación de servicios; con las excepciones y salvedades que se precisan en el artículo 10-A de la Ley de Coordinación Fiscal.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El Ayuntamiento,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 facultades.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3.- El funcionario encargado de la Hacienda Municipal, cualquiera que sea su denominación en los reglamentos municipales respectivos, es la autoridad competente para fijar, entre los mínimos y máximos, las cuotas que, conforme a la presente Ley, se deben cubrir al erario municipal, debiendo efectuar los contribuyentes sus pagos en efectivo, con cheque certificado o nominativo salvo buen cobro,  con tarjeta de crédito o débito, o vía electrónica a través de una transferencia mediante la expedición del recibo oficial correspondiente.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Los funcionarios que determine el Ayuntamiento en los términos del artículo 10 Bis de la Ley de Hacienda Municipal del Estado de Jalisco, deben caucionar el manejo de fondos, en cualquiera de las formas previstas por el Artículo 47 de la misma Ley de Hacienda Municipal del Estado de Jalisco. La caución a cubrir a favor del Municipio será el importe resultante de multiplicar el promedio mensual del presupuesto de egresos aprobado por el Ayuntamiento para el ejercicio fiscal en que estará vigente la presente Ley por el 0.15% y a lo que resulte se adicionará la cantidad de $85,000.00.</w:t>
      </w:r>
    </w:p>
    <w:p w:rsidR="00DA389F" w:rsidRPr="006B7EB5" w:rsidRDefault="00DA389F" w:rsidP="00DA389F">
      <w:pPr>
        <w:spacing w:line="360" w:lineRule="auto"/>
        <w:rPr>
          <w:rFonts w:ascii="Arial" w:hAnsi="Arial" w:cs="Arial"/>
          <w:sz w:val="24"/>
          <w:szCs w:val="24"/>
        </w:rPr>
      </w:pPr>
    </w:p>
    <w:p w:rsidR="00DA389F" w:rsidRPr="00E674CE" w:rsidRDefault="00DA389F" w:rsidP="00DA389F">
      <w:pPr>
        <w:spacing w:line="360" w:lineRule="auto"/>
        <w:rPr>
          <w:rFonts w:ascii="Arial" w:eastAsia="Times New Roman" w:hAnsi="Arial" w:cs="Arial"/>
          <w:sz w:val="24"/>
          <w:szCs w:val="24"/>
          <w:lang w:eastAsia="es-MX"/>
        </w:rPr>
      </w:pPr>
      <w:r w:rsidRPr="00E674CE">
        <w:rPr>
          <w:rFonts w:ascii="Arial" w:eastAsia="Times New Roman" w:hAnsi="Arial" w:cs="Arial"/>
          <w:sz w:val="24"/>
          <w:szCs w:val="24"/>
          <w:highlight w:val="green"/>
          <w:lang w:eastAsia="es-MX"/>
        </w:rPr>
        <w:t xml:space="preserve">Artículo 4.- </w:t>
      </w:r>
      <w:r w:rsidR="00E674CE" w:rsidRPr="00E674CE">
        <w:rPr>
          <w:rFonts w:ascii="Arial" w:hAnsi="Arial" w:cs="Arial"/>
          <w:sz w:val="24"/>
          <w:szCs w:val="24"/>
          <w:highlight w:val="green"/>
        </w:rPr>
        <w:t>Para los efectos de esta ley, las responsabilidades administrativas que la ley determine como graves, así como las que finquen a los responsables el pago de las indemnizaciones y sanciones pecuniarias que deriven de los daños y perjuicios que afecten a la hacienda pública estatal o municipal o al patrimonio de los poderes o entes públicos locales o municipales, que determine el Tribunal de Justicia Administrativa, se constituirán como créditos fiscales; en consecuencia, la Hacienda Municipal tendrá la obligación de hacerlos efectivos, mediante el procedimiento administrativo de ejecución</w:t>
      </w:r>
      <w:r w:rsidRPr="00E674CE">
        <w:rPr>
          <w:rFonts w:ascii="Arial" w:eastAsia="Times New Roman" w:hAnsi="Arial" w:cs="Arial"/>
          <w:sz w:val="24"/>
          <w:szCs w:val="24"/>
          <w:highlight w:val="green"/>
          <w:lang w:eastAsia="es-MX"/>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Artículo 5.- El Ayuntamiento por mayoría de votos, tendrá la facultad de otorgar, estímulos, descuentos, subsidios y condonaciones parciales de hasta un 50% en el pago de impuestos, derechos, productos y aprovechamiento, así como de los accesorios que de ellos se deriven, de lo contrario queda estrictamente prohibido modificar las cuotas, tasas y tarifas, que en esta Ley se establecen, ya sea para aumentarlas o disminuirlas, a excepción de lo que establece el artículo 37, fracción I, de la Ley del Gobierno y la Administración Pública Municipal del Estado de Jalisco.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Quien incumpla esta obligación, incurrirá en responsabilidad y se hará acreedor a las sanciones que precisa la ley de la materia.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6.- La realización de eventos, espectáculos y diversiones públicas, ya sea de manera eventual o permanente, deberá sujetarse a las siguientes disposiciones, sin perjuicio de las demás consignadas en los reglamentos respectivos: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En todos los eventos, diversiones y espectáculos públicos en que se cobre el ingreso, se deberá contar con boletaje previamente autorizado por la Hacienda Municipal, el cual en ningún caso, será mayor a la capacidad de localidades del lugar en donde se realice el evento.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Para los efectos de la determinación de la capacidad de cupo del lugar donde se presenten los eventos o espectáculos, se tomará en cuenta la opinión del área correspondiente a obras públicas municipales.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Los organizadores deberán garantizar la seguridad de los asistentes, entre otras acciones, mediante la contratación de cuerpos de seguridad privada o, en su defecto, a través de los servicios públicos municipales respectivos, en cuyo caso </w:t>
      </w:r>
      <w:r w:rsidRPr="006B7EB5">
        <w:rPr>
          <w:rFonts w:ascii="Arial" w:eastAsia="Times New Roman" w:hAnsi="Arial" w:cs="Arial"/>
          <w:sz w:val="24"/>
          <w:szCs w:val="24"/>
          <w:lang w:eastAsia="es-MX"/>
        </w:rPr>
        <w:lastRenderedPageBreak/>
        <w:t>pagarán el sueldo y los accesorios que deriven de la contratación de los policías municipales.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Se deberá cubrir previamente el importe de los sueldos y accesorios de policía y cualquier otro servicio público municipal, para atender la solicitud realizada. Este servicio se prestará siempre y cuando no se afecte la operación de los dispositivos de vigilancia del municipio. Dichos honorarios y gastos no serán reintegrados en caso de no efectuarse el evento programado, excepto cuando fuere por causa de fuerza insuperable a juicio de la autoridad municipal, notificada con 24 horas de anticipación a la realización del evento.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De los servicios relacionados a elementos de Protección Civil, Bomberos y seguridad pública: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Turno de 3 horas: $300.00</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b) Turno de 8 horas: $500.00.</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c) Turno de 12 horas: $900.00.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IV. Cuando se obtengan ingresos por la celebración de espectáculos públicos, cuyos fondos se canalicen a universidades públicas, instituciones de beneficencia o asistenciales y que la persona física o jurídica organizadora del evento solicite la no causación a la Hacienda Municipal del pago del impuesto sobre espectáculos públicos, deberán presentar la solicitud, con ocho días de anticipación a la venta de los boletos propios del evento, acompañada de la siguiente documentación: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1.- Copia del acta constitutiva o Decreto que autoriza la fundación.</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2.- Copia de la inscripción al Registro Federal de Contribuyentes ante la Secretaría de Hacienda y Crédito Público y declaración de impuestos federales del ejercicio fiscal anual inmediato anterior, y opinión de cumplimientos favorable.</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3.- Copia del contrato o contratos celebrados entre el (los) artista(s) y las universidades públicas, instituciones de beneficencia o asistenciales.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4.- Copia de los contratos de publicidad que contraigan las universidades públicas, instituciones de beneficencia o asistenciales.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5.- Copia del contrato de arrendamiento del lugar donde se realizará el evento, cuando se trate de un local que no sea propio de las universidades públicas, instituciones de beneficencia o asistenciales.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6.- Para el caso de las instituciones de beneficencia social, copia del registro ante el Instituto Jalisciense de Asistencia Social (I.J.A.S.).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V. Las personas físicas o jurídicas, que realicen espectáculos públicos en forma eventual, tendrán las siguientes obligaciones: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Dar aviso de iniciación de actividades a la dependencia en materia de Padrón y Licencias, a más tardar el día anterior a aquél en que inicien la realización del espectáculo, señalando la fecha en que habrán de concluir sus actividades.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Dar el aviso correspondiente en los casos de ampliación del período de explotación, a la dependencia en materia de Padrón y Licencias, a más tardar el último día que comprenda el aviso cuya vigencia se vaya a ampliar.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c) Previamente a la iniciación de actividades, otorgar garantía a satisfacción de la Hacienda Municipal, en alguna de las formas previstas en la Ley de Hacienda Municipal, que no será inferior a los ingresos estimados para un día de </w:t>
      </w:r>
      <w:r w:rsidRPr="006B7EB5">
        <w:rPr>
          <w:rFonts w:ascii="Arial" w:eastAsia="Times New Roman" w:hAnsi="Arial" w:cs="Arial"/>
          <w:sz w:val="24"/>
          <w:szCs w:val="24"/>
          <w:lang w:eastAsia="es-MX"/>
        </w:rPr>
        <w:lastRenderedPageBreak/>
        <w:t xml:space="preserve">actividades, ni superior al que pudiera corresponder estimativamente a tres días. Cuando no se cumpla con esta obligación, la Hacienda Municipal podrá suspender el espectáculo, hasta en tanto no se garantice el pago, para lo cual, el interventor designado solicitará el auxilio de la fuerza pública. En caso de no realizarse el evento, espectáculo o diversión sin causa justificada, se cobrará la sanción correspondiente.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VI. Previo a su funcionamiento, todos los establecimientos construidos exprofeso o destinados para presentar espectáculos públicos en forma permanente o eventual, deberán obtener su certificado de operatividad expedido por la unidad municipal de protección civil, misma que acompañará a su solicitud copia fotostática para su cotejo, así como su bitácora de mantenimiento, debidamente firmada por personal calificado. Este requisito además, deberá ser cubierto por las personas físicas o jurídicas que tengan juegos mecánicos, electromecánicos, hidráulicos o de cualquier naturaleza, cuya actividad implique un riesgo a la integridad de las personas.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7.- Los depósitos en garantía de obligaciones fiscales, que no sean reclamados dentro del plazo que señala la Ley de Hacienda Municipal del Estado de Jalisco para la prescripción de créditos fiscales quedarán a favor del Ayuntamiento.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8.- Las licencias para giros nuevos, que funcionen con venta o consumo de bebidas alcohólicas, así como permisos para anuncios permanentes, cuando éstos sean autorizados y previos a la obtención de los mismos, el contribuyente cubrirá los derechos correspondientes conforme a las siguientes bases: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Cuando se otorguen dentro del primer cuatrimestre del ejercicio fiscal se pagará por la misma el         100%.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II. Cuando se otorguen dentro del segundo cuatrimestre del ejercicio fiscal, se pagará por la misma el     70%.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Cuando se otorguen dentro del tercer cuatrimestre del ejercicio fiscal, se pagará por la misma el         35%.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Para los efectos de esta Ley, se deberá entender por: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Licencia: La autorización municipal para la instalación y funcionamiento de industrias, establecimientos comerciales, anuncios y la prestación de servicios, sean o no profesionales;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Permiso: La autorización municipal para la realización de actividades determinadas, señaladas previamente por el Ayuntamiento; y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c) Registro: La acción derivada de una inscripción o certificación que realiza la autoridad municipal.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d) Giro: Es todo tipo de actividad o grupo de actividades concretas ya sean económicas, comerciales, industriales o de prestación de servicios, según la clasificación de los padrones del Ayuntamiento.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9.- En los actos que originen modificaciones al padrón municipal de giros, se actuará conforme a las siguientes bases: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Los cambios de domicilio, actividad o denominación del giro, causarán derechos del 50%, por cada uno, de la cuota de la licencia municipal;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En las bajas de giros y anuncios, se deberá entregar la licencia vigente y, cuando no se hubiese pagado ésta, procederá un cobro proporcional al tiempo utilizado, en los términos de esta Ley;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Las ampliaciones de giro causarán derechos equivalentes al valor de licencias similares;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IV. En los casos de traspaso, será indispensable para su autorización, la comparecencia del cedente y del cesionario, quienes deberán cubrir derechos por el 100% del valor de la licencia del giro, asimismo, deberá cubrir los derechos correspondientes al traspaso de anuncios, lo que se hará simultáneamente.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El pago de los derechos a que se refieren las fracciones anteriores deberán enterarse a la Hacienda Municipal, en un plazo irrevocable de tres días, transcurrido este plazo y no hecho el pago, quedarán sin efecto los trámites realizados;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V. Tratándose de giros comerciales, industriales o de prestación de servicios que sean objeto del convenio de coordinación fiscal en materia de derechos, no causarán los pagos a que se refieren las fracciones I, II, III y IV, de este artículo, siendo necesario únicamente el pago de los productos correspondientes y la autorización municipal; y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VI. Cuando la modificación al padrón se realice por disposición de la autoridad municipal, no se causará este derecho.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Artículo 10.- Los establecimientos, puestos y locales, así como el horario de comercio, que operen en el Municipio, se regirán en cada caso por las disposiciones contenidas en el reglamento correspondiente; así como tratándose de los giros previstos en la Ley para Regular la Venta y Consumo de Bebidas Alcohólicas en el Estado de Jalisco, se atenderá a ésta y al reglamento respectivo.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11.- Para los efectos de esta Ley, se considera: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I. Establecimiento: Toda unidad económica instalada en un domicilio permanente para desarrollar total o parcialmente actividades comerciales, industriales o prestación de servicios;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Local o accesoria: Cada uno de los espacios abiertos o cerrados, en que se divide el interior y exterior de los mercados conforme haya sido su estructura original para el desarrollo de actividades comerciales, industriales o prestación de servicios; y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Puesto: Toda instalación fija o semifija permanente o eventual en que se desarrollen actividades comerciales, industriales o prestación de servicios y que no queden comprendidos en las definiciones anteriores.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12.- Las personas físicas y jurídicas, que durante el año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 xml:space="preserve">, inicien o amplíen actividades industriales, comerciales o de prestación de servicios, conforme a la legislación y normatividad aplicables, generen nuevas fuentes de empleo directas y realicen inversiones en activos fijos en inmuebles destinados a la construcción de las unidades industriales o establecimientos comerciales con fines productivos según el proyecto de construcción aprobado por el área de obras públicas municipales del Ayuntamiento, solicitarán a la autoridad municipal, la aprobación de incentivos, la cual se recibirá, estudiará y valorará, notificando al inversionista la resolución correspondiente, en caso de prosperar dicha solicitud, se aplicarán para este ejercicio fiscal a partir de la fecha que la autoridad municipal notifique al inversionista la aprobación de su solicitud, los siguientes incentivos fiscales.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Reducción temporal de impuestos: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Impuesto predial: Reducción del impuesto predial del inmueble en que se encuentren asentadas las instalaciones de la empresa.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Impuesto sobre transmisiones patrimoniales: Reducción del impuesto correspondiente a la adquisición del o de los inmuebles destinados a las actividades aprobadas en el proyecto.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c) Negocios jurídicos: Reducción del impuesto sobre negocios jurídicos; tratándose de construcción, reconstrucción, ampliación, y demolición del inmueble en que se encuentre la empresa.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Reducción temporal de derechos: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Derechos por aprovechamiento de la infraestructura básica: Reducción de estos derechos a los propietarios de predios </w:t>
      </w:r>
      <w:proofErr w:type="spellStart"/>
      <w:r w:rsidRPr="006B7EB5">
        <w:rPr>
          <w:rFonts w:ascii="Arial" w:eastAsia="Times New Roman" w:hAnsi="Arial" w:cs="Arial"/>
          <w:sz w:val="24"/>
          <w:szCs w:val="24"/>
          <w:lang w:eastAsia="es-MX"/>
        </w:rPr>
        <w:t>intraurbanos</w:t>
      </w:r>
      <w:proofErr w:type="spellEnd"/>
      <w:r w:rsidRPr="006B7EB5">
        <w:rPr>
          <w:rFonts w:ascii="Arial" w:eastAsia="Times New Roman" w:hAnsi="Arial" w:cs="Arial"/>
          <w:sz w:val="24"/>
          <w:szCs w:val="24"/>
          <w:lang w:eastAsia="es-MX"/>
        </w:rPr>
        <w:t xml:space="preserve"> localizados dentro de la zona de reserva urbana, exclusivamente tratándose de inmuebles de uso no habitacional en los que se instale el establecimiento industrial, comercial o de prestación de servicios, en la superficie que determine el proyecto aprobado.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Derechos de licencia de construcción: Reducción de los derechos de licencia de construcción para inmuebles de uso no habitacional, destinados a la industria, comercio y prestación de servicios o uso turístico.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Los incentivos señalados en razón del número de empleos generados se aplicarán según la siguiente tabla: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54"/>
        <w:gridCol w:w="968"/>
        <w:gridCol w:w="1347"/>
        <w:gridCol w:w="993"/>
        <w:gridCol w:w="1806"/>
        <w:gridCol w:w="2210"/>
      </w:tblGrid>
      <w:tr w:rsidR="00DA389F" w:rsidRPr="0007058E" w:rsidTr="00DA389F">
        <w:trPr>
          <w:trHeight w:val="20"/>
        </w:trPr>
        <w:tc>
          <w:tcPr>
            <w:tcW w:w="5000" w:type="pct"/>
            <w:gridSpan w:val="6"/>
            <w:vAlign w:val="center"/>
          </w:tcPr>
          <w:p w:rsidR="00DA389F" w:rsidRPr="006B7EB5" w:rsidRDefault="00DA389F" w:rsidP="00DA389F">
            <w:pPr>
              <w:spacing w:line="360" w:lineRule="auto"/>
              <w:jc w:val="center"/>
              <w:rPr>
                <w:rFonts w:ascii="Arial" w:hAnsi="Arial" w:cs="Arial"/>
                <w:b/>
                <w:bCs/>
                <w:sz w:val="16"/>
                <w:szCs w:val="16"/>
                <w:lang w:eastAsia="es-MX"/>
              </w:rPr>
            </w:pPr>
            <w:r w:rsidRPr="006B7EB5">
              <w:rPr>
                <w:rFonts w:ascii="Arial" w:hAnsi="Arial" w:cs="Arial"/>
                <w:b/>
                <w:bCs/>
                <w:sz w:val="16"/>
                <w:szCs w:val="16"/>
                <w:lang w:eastAsia="es-MX"/>
              </w:rPr>
              <w:t>PORCENTAJES DE BENEFICIO</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Condicionantes del Incentivo</w:t>
            </w:r>
          </w:p>
        </w:tc>
        <w:tc>
          <w:tcPr>
            <w:tcW w:w="1842" w:type="pct"/>
            <w:gridSpan w:val="3"/>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IMPUESTOS</w:t>
            </w:r>
          </w:p>
        </w:tc>
        <w:tc>
          <w:tcPr>
            <w:tcW w:w="2237" w:type="pct"/>
            <w:gridSpan w:val="2"/>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DERECHOS</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Creación de Nuevos Empleos</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Predial</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Transmisiones Patrimoniales</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Negocios Jurídicos -</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Aprovechamiento de la Infraestructura</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Licencias de Construcción</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100 en adelante</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50%</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50%</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50%</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50%</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25%</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75 a 99</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37.50%</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37.50%</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37.50%</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37.50%</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18.75%</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50 a 74</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25%</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25%</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25%</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25%</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12.50%</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15 a 49</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15%</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15%</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15%</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15%</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r>
      <w:tr w:rsidR="00DA389F" w:rsidRPr="0007058E" w:rsidTr="00DA389F">
        <w:trPr>
          <w:trHeight w:val="20"/>
        </w:trPr>
        <w:tc>
          <w:tcPr>
            <w:tcW w:w="92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lastRenderedPageBreak/>
              <w:t>2 a 14</w:t>
            </w:r>
          </w:p>
        </w:tc>
        <w:tc>
          <w:tcPr>
            <w:tcW w:w="539"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c>
          <w:tcPr>
            <w:tcW w:w="750"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c>
          <w:tcPr>
            <w:tcW w:w="553"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c>
          <w:tcPr>
            <w:tcW w:w="1006"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c>
          <w:tcPr>
            <w:tcW w:w="1231" w:type="pct"/>
            <w:vAlign w:val="center"/>
          </w:tcPr>
          <w:p w:rsidR="00DA389F" w:rsidRPr="006B7EB5" w:rsidRDefault="00DA389F" w:rsidP="00DA389F">
            <w:pPr>
              <w:spacing w:line="360" w:lineRule="auto"/>
              <w:jc w:val="center"/>
              <w:rPr>
                <w:rFonts w:ascii="Arial" w:hAnsi="Arial" w:cs="Arial"/>
                <w:sz w:val="16"/>
                <w:szCs w:val="16"/>
                <w:lang w:eastAsia="es-MX"/>
              </w:rPr>
            </w:pPr>
            <w:r w:rsidRPr="006B7EB5">
              <w:rPr>
                <w:rFonts w:ascii="Arial" w:hAnsi="Arial" w:cs="Arial"/>
                <w:sz w:val="16"/>
                <w:szCs w:val="16"/>
                <w:lang w:eastAsia="es-MX"/>
              </w:rPr>
              <w:t>10%</w:t>
            </w: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Quedan comprendidos dentro de estos incentivos fiscales, las personas física o jurídica, que habiendo cumplido con los requisitos de creación de nuevas fuentes de empleo, constituyan un derecho real de superficie o adquieran en arrendamiento el inmueble, cuando menos por el término de diez años.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13.- Para la aplicación de los incentivos señalados en el artículo que antecede, no se considerará que existe el inicio o ampliación de actividades o una nueva inversión de personas físicas o jurídicas, si ésta estuviere ya constituida antes del año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 xml:space="preserve">, por el sólo hecho de que cambie su nombre, denominación o razón social, y en el caso de los establecimientos que con anterioridad a la entrada en vigor de esta Ley, ya se encontraban operando y sean adquiridos por un tercero que solicite en su beneficio la aplicación de esta disposición, o en tratándose de las personas jurídicas que resulten de la fusión o escisión de otras personas jurídicas ya constituidas.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Lo anterior con excepción de que una persona física o jurídica ya constituida y operando antes del ejercicio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 xml:space="preserve">, demuestre que ha incrementado su plantilla laboral, con estadísticas de pagos ante el Instituto Mexicano del Seguro Social y el Servicio de Administración Tributaria, y garantice esos empleos durante el ejercicio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14.- En los casos en que se compruebe que las personas físicas o jurídicas que hayan sido beneficiadas por estos incentivos fiscales no hubiesen cumplido con los presupuestos de creación de las nuevas fuentes de empleos directas correspondientes al esquema de incentivos fiscales que promovieron, que es irregular la constitución del derecho de superficie o el arrendamiento de inmuebles, deberán enterar al Ayuntamiento, por medio de la Hacienda Municipal las cantidades que conforme a la Ley de ingresos del Municipio debieron haber pagado por los conceptos de impuestos y derechos causados originalmente, además de los accesorios que procedan conforme a la Ley.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15.- Las liquidaciones en efectivo de obligaciones y créditos fiscales, cuyo importe comprenda fracciones de la unidad monetaria, que no sean múltiplos de cinco centavos, se harán ajustando el monto del pago, al múltiplo de cinco centavos, más próximo a dicho importe.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En todo lo no previsto por la presente ley, para su interpretación, se estará a lo dispuesto por las Leyes de Hacienda Municipal, Ley de Disciplina Financiera de las Entidades Federativas y los Municipios y las disposiciones legales federales y estatales en materia fiscal. De manera supletoria se estará a lo que señala el Código de Procedimientos Civiles del Estado de Jalisco, el Código Civil del Estado de Jalisco, el Código Penal del Estado de Jalisco, el código de comercio, Ley General de Contabilidad Gubernamental y Ley General de transparencia, Ley General de Responsabilidades cuando su aplicación no sea contraria a la naturaleza propia del derecho administrativo y la jurisprudencia.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16.- El Municipio percibirá ingresos por impuestos, contribuciones de mejora, derechos, productos y aprovechamientos no comprendidos en las fracciones de la Ley de Ingresos causados en ejercicios fiscales anteriores pendientes de liquidación de pago;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TÍTULO SEGUNDO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Impuestos</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CAPÍTULO PRIMERO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Impuestos sobre los ingresos</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SECCIÓN PRIMERA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Del impuesto sobre espectáculos públicos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17.- Este impuesto se causará y pagará de acuerdo con las siguientes tarifas: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I. Funciones de circo, sobre el monto de los ingresos que se obtengan por la venta de boletos</w:t>
      </w:r>
      <w:r>
        <w:rPr>
          <w:rFonts w:ascii="Arial" w:hAnsi="Arial" w:cs="Arial"/>
          <w:sz w:val="24"/>
          <w:szCs w:val="24"/>
        </w:rPr>
        <w:t xml:space="preserve"> de entrada, él: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Conciertos y audiciones musicales, funciones de box, lucha libre, fútbol, básquetbol, béisbol y otros espectáculos deportivos, sobre el ingreso percibido por</w:t>
      </w:r>
      <w:r>
        <w:rPr>
          <w:rFonts w:ascii="Arial" w:hAnsi="Arial" w:cs="Arial"/>
          <w:sz w:val="24"/>
          <w:szCs w:val="24"/>
        </w:rPr>
        <w:t xml:space="preserve"> boletos de entrada, el: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6B7EB5">
        <w:rPr>
          <w:rFonts w:ascii="Arial" w:hAnsi="Arial" w:cs="Arial"/>
          <w:sz w:val="24"/>
          <w:szCs w:val="24"/>
        </w:rPr>
        <w:t>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Espectáculos teatrale</w:t>
      </w:r>
      <w:r>
        <w:rPr>
          <w:rFonts w:ascii="Arial" w:hAnsi="Arial" w:cs="Arial"/>
          <w:sz w:val="24"/>
          <w:szCs w:val="24"/>
        </w:rPr>
        <w:t>s, ballet, ópera y taurinos, el:</w:t>
      </w:r>
      <w:r w:rsidRPr="006B7EB5">
        <w:rPr>
          <w:rFonts w:ascii="Arial" w:hAnsi="Arial" w:cs="Arial"/>
          <w:sz w:val="24"/>
          <w:szCs w:val="24"/>
        </w:rPr>
        <w:t xml:space="preserve">                   </w:t>
      </w:r>
      <w:r>
        <w:rPr>
          <w:rFonts w:ascii="Arial" w:hAnsi="Arial" w:cs="Arial"/>
          <w:sz w:val="24"/>
          <w:szCs w:val="24"/>
        </w:rPr>
        <w:t xml:space="preserve">            </w:t>
      </w:r>
      <w:r w:rsidRPr="006B7EB5">
        <w:rPr>
          <w:rFonts w:ascii="Arial" w:hAnsi="Arial" w:cs="Arial"/>
          <w:sz w:val="24"/>
          <w:szCs w:val="24"/>
        </w:rPr>
        <w:t>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Pel</w:t>
      </w:r>
      <w:r>
        <w:rPr>
          <w:rFonts w:ascii="Arial" w:hAnsi="Arial" w:cs="Arial"/>
          <w:sz w:val="24"/>
          <w:szCs w:val="24"/>
        </w:rPr>
        <w:t xml:space="preserve">eas de gallos y palenques, el: </w:t>
      </w:r>
      <w:r>
        <w:rPr>
          <w:rFonts w:ascii="Arial" w:hAnsi="Arial" w:cs="Arial"/>
          <w:sz w:val="24"/>
          <w:szCs w:val="24"/>
        </w:rPr>
        <w:tab/>
        <w:t xml:space="preserve">      </w:t>
      </w:r>
      <w:r w:rsidRPr="006B7EB5">
        <w:rPr>
          <w:rFonts w:ascii="Arial" w:hAnsi="Arial" w:cs="Arial"/>
          <w:sz w:val="24"/>
          <w:szCs w:val="24"/>
        </w:rPr>
        <w:t xml:space="preserve">        </w:t>
      </w:r>
      <w:r>
        <w:rPr>
          <w:rFonts w:ascii="Arial" w:hAnsi="Arial" w:cs="Arial"/>
          <w:sz w:val="24"/>
          <w:szCs w:val="24"/>
        </w:rPr>
        <w:t xml:space="preserve">              </w:t>
      </w:r>
      <w:r w:rsidRPr="006B7EB5">
        <w:rPr>
          <w:rFonts w:ascii="Arial" w:hAnsi="Arial" w:cs="Arial"/>
          <w:sz w:val="24"/>
          <w:szCs w:val="24"/>
        </w:rPr>
        <w:t xml:space="preserve">                    10%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Otros espectáculos, distintos de los especificados, excepto charrería, el: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                                            </w:t>
      </w:r>
      <w:r>
        <w:rPr>
          <w:rFonts w:ascii="Arial" w:hAnsi="Arial" w:cs="Arial"/>
          <w:sz w:val="24"/>
          <w:szCs w:val="24"/>
        </w:rPr>
        <w:t xml:space="preserve">                                                                   </w:t>
      </w:r>
      <w:r w:rsidRPr="006B7EB5">
        <w:rPr>
          <w:rFonts w:ascii="Arial" w:hAnsi="Arial" w:cs="Arial"/>
          <w:sz w:val="24"/>
          <w:szCs w:val="24"/>
        </w:rPr>
        <w:t>10%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No se consideran objeto de este impuesto los ingresos que obtengan la Federación, el Estado y los Municipios por la explotación de espectáculos públicos que directamente realicen. Tampoco se consideran objeto de éste impuesto los ingresos que se perciban por el boleto de entrada en los eventos de exposición para el fomento de actividades comerciales, industriales, agrícolas, ganaderas y de pesca, así como los ingresos que se obtengan por la celebración de eventos cuyos fondos se canalicen exclusivamente a instituciones asistenciales o de beneficencia.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CAPÍTULO SEGUNDO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Impuesto sobre el patrimonio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SECCIÓN PRIMERA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Del impuesto predial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18.- Este impuesto se causará y pagará de conformidad con las bases, tasas, cuotas y tarifas a que se refiere esta sección: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Tasa bimestral al millar</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Predios en general que han venido tributando con tasas diferentes a las contenidas en este artículo, sobre la base fiscal registrada, el 10 al millar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Los contribuyentes de este impuesto, a quienes les resulte aplicable esta tasa, en tanto no se hubiesen practicado la valuación de sus predios en los términos de la Ley de Catastro Municipal del Estado y la Ley de Hacienda Municipal del Estado de Jalisco, podrán determinar y declarar el valor o solicitar a la Hacienda Municipal la valuación de sus predios, a fin de que estén en posibilidad de cubrirlo bajo el régimen, que una vez determinado el nuevo valor fiscal, les corresponda de acuerdo con las tasas que establecen las fracciones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la cantidad resultante de la aplicación de la tasa anterior sobre la base fiscal registrada, se le adici</w:t>
      </w:r>
      <w:r>
        <w:rPr>
          <w:rFonts w:ascii="Arial" w:eastAsia="Times New Roman" w:hAnsi="Arial" w:cs="Arial"/>
          <w:sz w:val="24"/>
          <w:szCs w:val="24"/>
          <w:lang w:eastAsia="es-MX"/>
        </w:rPr>
        <w:t>onará una cuota fija de $25.56</w:t>
      </w:r>
      <w:r w:rsidRPr="006B7EB5">
        <w:rPr>
          <w:rFonts w:ascii="Arial" w:eastAsia="Times New Roman" w:hAnsi="Arial" w:cs="Arial"/>
          <w:sz w:val="24"/>
          <w:szCs w:val="24"/>
          <w:lang w:eastAsia="es-MX"/>
        </w:rPr>
        <w:t xml:space="preserve"> bimestrales y el resultado será el impuesto a pagar.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Predios rústicos: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Para predios cuyo valor real se determine en los términos de la Ley de Hacienda Municipal del Estado de Jalisco (del terreno y las construcciones en su caso), sobre el valor fiscal determinado, el .2 al millar bimestral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Tratándose de predios rústicos, según la definición de la Ley de Catastro Municipal, dedicados preponderantemente a fines agropecuarios en producción previa constancia de la dependencia que la Hacienda Municipal designe y cuyo valor se determine conforme al párrafo anterior, tendrán una reducción del 50% en el pago del impuesto.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A la cantidad que resulte de aplicar la tasa contenida en el inciso a), se le </w:t>
      </w:r>
      <w:r>
        <w:rPr>
          <w:rFonts w:ascii="Arial" w:eastAsia="Times New Roman" w:hAnsi="Arial" w:cs="Arial"/>
          <w:sz w:val="24"/>
          <w:szCs w:val="24"/>
          <w:lang w:eastAsia="es-MX"/>
        </w:rPr>
        <w:t>adicionará una cuota fija de $14.33</w:t>
      </w:r>
      <w:r w:rsidRPr="006B7EB5">
        <w:rPr>
          <w:rFonts w:ascii="Arial" w:eastAsia="Times New Roman" w:hAnsi="Arial" w:cs="Arial"/>
          <w:sz w:val="24"/>
          <w:szCs w:val="24"/>
          <w:lang w:eastAsia="es-MX"/>
        </w:rPr>
        <w:t xml:space="preserve"> bimestrales, y el resultado será el impuesto a pagar.</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Predios urbanos: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Predios edificados cuyo valor real se determine en los términos de la Ley de Hacienda Municipal del Estado de Jalisco, sobre el valor determinado, el .2 al millar bimestral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b) Predios no edificados, cuyo valor real se determine en los términos de la Ley de Hacienda Municipal del Estado de Jalisco, sobre el valor determinado, el .3 al millar bimestral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las cantidades determinadas mediante la aplicación de las tasas señaladas en los incisos a) y b) de esta fracción, se les </w:t>
      </w:r>
      <w:r>
        <w:rPr>
          <w:rFonts w:ascii="Arial" w:eastAsia="Times New Roman" w:hAnsi="Arial" w:cs="Arial"/>
          <w:sz w:val="24"/>
          <w:szCs w:val="24"/>
          <w:lang w:eastAsia="es-MX"/>
        </w:rPr>
        <w:t xml:space="preserve">adicionará una cuota fija de $21.00 </w:t>
      </w:r>
      <w:r w:rsidRPr="006B7EB5">
        <w:rPr>
          <w:rFonts w:ascii="Arial" w:eastAsia="Times New Roman" w:hAnsi="Arial" w:cs="Arial"/>
          <w:sz w:val="24"/>
          <w:szCs w:val="24"/>
          <w:lang w:eastAsia="es-MX"/>
        </w:rPr>
        <w:t xml:space="preserve"> bimestrales y el resultado será el impuesto a pagar.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19.- A los contribuyentes que se encuentren comprendidos en las fracciones siguientes y dentro de los supuestos que se indican en los incisos a), de la fracción II; a) y b), de la fracción III, del artículo 18, de esta Ley se les otorgarán con efectos a partir del bimestre en que sean entregados los documentos completos que acrediten el derecho a los siguientes beneficios: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A las instituciones privadas de asistencia o de beneficencia social constituidas y autorizadas de conformidad con las Leyes de la materia, así como las sociedades o asociaciones civiles que tengan como actividades las que se señalan en los siguientes incisos, se les otorgará una reducción del 50% en el pago del impuesto predial, sobre los primeros $415,000.00 de valor fiscal, respecto de los predios que sean propietarios: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a) La atención a personas que, por sus carencias socioeconómicas o por problemas de invalidez, se vean impedidas para satisfacer sus requerimientos básicos de subsistencia y desarrollo;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La atención en establecimientos especializados a menores y ancianos en Estado de abandono o desamparo e inválidos de escasos recursos;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c) La prestación de asistencia médica o jurídica, de orientación social, de servicios funerarios a personas de escasos recursos, especialmente a menores, ancianos e inválidos;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d) La readaptación social de personas que han llevado a cabo conductas ilícitas;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 La rehabilitación de farmacodependientes de escasos recursos;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f) Sociedades o asociaciones de carácter civil que se dediquen a la enseñanza gratuita, con autorización o reconocimiento de validez oficial de estudios en los términos de la Ley General de Educación.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Las instituciones a que se refiere este inciso, solicitarán a la Hacienda Municipal la aplicación de la reducción establecida, acompañando a su solicitud dictamen practicado por el departamento jurídico municipal o el Instituto Jalisciense de Asistencia Social.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A las asociaciones religiosas legalmente constituidas, se les otorgará una reducción del 50% del impuesto que les resulte.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Las asociaciones o sociedades a que se refiere el párrafo anterior, solicitarán a la Hacienda Municipal la aplicación de la reducción a la que tengan derecho, adjuntando a su solicitud los documentos en los que se acredite su legal constitución y demostrar que se encuentran al corriente en los derechos de agua </w:t>
      </w:r>
      <w:r w:rsidRPr="006B7EB5">
        <w:rPr>
          <w:rFonts w:ascii="Arial" w:eastAsia="Times New Roman" w:hAnsi="Arial" w:cs="Arial"/>
          <w:sz w:val="24"/>
          <w:szCs w:val="24"/>
          <w:lang w:eastAsia="es-MX"/>
        </w:rPr>
        <w:lastRenderedPageBreak/>
        <w:t>potable, en sus obligaciones fiscales federales y demás contribuciones municipales;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A los contribuyentes que acrediten ser propietarios de uno o varios bienes inmuebles, afectos al patrimonio cultural del estado y que los mantengan en estado de conservación aceptable a juicio del ayuntamiento, cubrirán el impuesto predial, con la aplicación de una reducción del                          </w:t>
      </w:r>
      <w:r>
        <w:rPr>
          <w:rFonts w:ascii="Arial" w:hAnsi="Arial" w:cs="Arial"/>
          <w:sz w:val="24"/>
          <w:szCs w:val="24"/>
        </w:rPr>
        <w:t xml:space="preserve">                 </w:t>
      </w:r>
      <w:r w:rsidRPr="006B7EB5">
        <w:rPr>
          <w:rFonts w:ascii="Arial" w:hAnsi="Arial" w:cs="Arial"/>
          <w:sz w:val="24"/>
          <w:szCs w:val="24"/>
        </w:rPr>
        <w:t xml:space="preserve"> 60%.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20.- A los contribuyentes de este impuesto, que efectúen el pago correspondiente al año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 xml:space="preserve">, en una sola exhibición se les concederán los siguientes beneficios: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Si efectúan el pago durante los meses de enero y febrero del año </w:t>
      </w:r>
      <w:r>
        <w:rPr>
          <w:rFonts w:ascii="Arial" w:hAnsi="Arial" w:cs="Arial"/>
          <w:sz w:val="24"/>
          <w:szCs w:val="24"/>
        </w:rPr>
        <w:t>2018</w:t>
      </w:r>
      <w:r w:rsidRPr="006B7EB5">
        <w:rPr>
          <w:rFonts w:ascii="Arial" w:hAnsi="Arial" w:cs="Arial"/>
          <w:sz w:val="24"/>
          <w:szCs w:val="24"/>
        </w:rPr>
        <w:t>, se les concederá una reducción</w:t>
      </w:r>
      <w:r>
        <w:rPr>
          <w:rFonts w:ascii="Arial" w:hAnsi="Arial" w:cs="Arial"/>
          <w:sz w:val="24"/>
          <w:szCs w:val="24"/>
        </w:rPr>
        <w:t xml:space="preserve"> del   </w:t>
      </w:r>
      <w:r>
        <w:rPr>
          <w:rFonts w:ascii="Arial" w:hAnsi="Arial" w:cs="Arial"/>
          <w:sz w:val="24"/>
          <w:szCs w:val="24"/>
        </w:rPr>
        <w:tab/>
        <w:t xml:space="preserve">           </w:t>
      </w:r>
      <w:r w:rsidRPr="006B7EB5">
        <w:rPr>
          <w:rFonts w:ascii="Arial" w:hAnsi="Arial" w:cs="Arial"/>
          <w:sz w:val="24"/>
          <w:szCs w:val="24"/>
        </w:rPr>
        <w:t>15%.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Cuando el pago se efectúe durante los meses de marzo y abril del año </w:t>
      </w:r>
      <w:r>
        <w:rPr>
          <w:rFonts w:ascii="Arial" w:hAnsi="Arial" w:cs="Arial"/>
          <w:sz w:val="24"/>
          <w:szCs w:val="24"/>
        </w:rPr>
        <w:t>2018</w:t>
      </w:r>
      <w:r w:rsidRPr="006B7EB5">
        <w:rPr>
          <w:rFonts w:ascii="Arial" w:hAnsi="Arial" w:cs="Arial"/>
          <w:sz w:val="24"/>
          <w:szCs w:val="24"/>
        </w:rPr>
        <w:t xml:space="preserve">, se les concederá </w:t>
      </w:r>
      <w:r>
        <w:rPr>
          <w:rFonts w:ascii="Arial" w:hAnsi="Arial" w:cs="Arial"/>
          <w:sz w:val="24"/>
          <w:szCs w:val="24"/>
        </w:rPr>
        <w:t xml:space="preserve">una reducción del    </w:t>
      </w:r>
      <w:r>
        <w:rPr>
          <w:rFonts w:ascii="Arial" w:hAnsi="Arial" w:cs="Arial"/>
          <w:sz w:val="24"/>
          <w:szCs w:val="24"/>
        </w:rPr>
        <w:tab/>
      </w:r>
      <w:r w:rsidRPr="006B7EB5">
        <w:rPr>
          <w:rFonts w:ascii="Arial" w:hAnsi="Arial" w:cs="Arial"/>
          <w:sz w:val="24"/>
          <w:szCs w:val="24"/>
        </w:rPr>
        <w:t xml:space="preserve"> 5%.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los contribuyentes que efectúen su pago en los términos del inciso anterior no causarán los recargos que se hubieren generado en ese periodo.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Artículo 21.- Las personas que acrediten tener 60 años o más de edad, serán beneficiados con una reducción del 50% del impuesto predial, sobre los primeros $560,000.00 del valor fiscal respecto de la casa que habiten y comprueben ser propietarios.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Asimismo, serán beneficiarios de la reducción del 50% del impuesto predial sobre los primeros $560,000.00 del valor fiscal respecto de la casa que habiten y comprueben ser propietarios, los pensionados, jubilados o discapacitados que acrediten tener una o más carencias sociales y contar con un ingreso inferior a la Línea de Bienestar determinada por el CONEVAL.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En todos los casos se otorgará la reducción antes citada, tratándose exclusivamente de una sola casa habitación. Los pensionados o jubilados que estén interesados en ser beneficiarios de la reducción, deberán de presentar la siguiente documentación: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Copia del talón de ingresos o en su caso credencial que lo acredite como pensionado, jubilado o discapacitado expedido por institución oficial del país y de la credencial de elector;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Recibo del impuesto predial, pagado hasta el sexto bimestre del año </w:t>
      </w:r>
      <w:r>
        <w:rPr>
          <w:rFonts w:ascii="Arial" w:eastAsia="Times New Roman" w:hAnsi="Arial" w:cs="Arial"/>
          <w:sz w:val="24"/>
          <w:szCs w:val="24"/>
          <w:lang w:eastAsia="es-MX"/>
        </w:rPr>
        <w:t>2017</w:t>
      </w:r>
      <w:r w:rsidRPr="006B7EB5">
        <w:rPr>
          <w:rFonts w:ascii="Arial" w:eastAsia="Times New Roman" w:hAnsi="Arial" w:cs="Arial"/>
          <w:sz w:val="24"/>
          <w:szCs w:val="24"/>
          <w:lang w:eastAsia="es-MX"/>
        </w:rPr>
        <w:t xml:space="preserve">, además de acreditar que el inmueble lo habita el beneficiado;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c) Demostrar una o más carencias sociales, con la documentación que determine el Gobierno Municipal;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d) Participar en la encuesta denominada Cuestionario Único de Información Social CUIS.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los contribuyentes discapacitados, se les otorgará el beneficio siempre y cuando sufran una discapacidad del 50% o más atendiendo a lo dispuesto por el artículo 514 de la Ley Federal del Trabajo. Para tal efecto, la Hacienda Municipal a través de la dependencia que esta designe, practicará examen médico para determinar el grado de discapacidad, el cual será gratuito, o bien bastará la presentación de un certificado que lo acredite expedido por una institución médica oficial del país.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En ningún caso el impuesto predial </w:t>
      </w:r>
      <w:r>
        <w:rPr>
          <w:rFonts w:ascii="Arial" w:eastAsia="Times New Roman" w:hAnsi="Arial" w:cs="Arial"/>
          <w:sz w:val="24"/>
          <w:szCs w:val="24"/>
          <w:lang w:eastAsia="es-MX"/>
        </w:rPr>
        <w:t>a pagar será inferior a $74.00</w:t>
      </w:r>
      <w:r w:rsidRPr="006B7EB5">
        <w:rPr>
          <w:rFonts w:ascii="Arial" w:eastAsia="Times New Roman" w:hAnsi="Arial" w:cs="Arial"/>
          <w:sz w:val="24"/>
          <w:szCs w:val="24"/>
          <w:lang w:eastAsia="es-MX"/>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22.- En el caso de predios, que durante el presente año fiscal se actualice su valor fiscal con motivo de la transmisión de propiedad o se modifiquen sus valores por los supuestos establecidos en las fracciones IV, V, VII y IX, del artículo </w:t>
      </w:r>
      <w:r w:rsidRPr="006B7EB5">
        <w:rPr>
          <w:rFonts w:ascii="Arial" w:eastAsia="Times New Roman" w:hAnsi="Arial" w:cs="Arial"/>
          <w:sz w:val="24"/>
          <w:szCs w:val="24"/>
          <w:lang w:eastAsia="es-MX"/>
        </w:rPr>
        <w:lastRenderedPageBreak/>
        <w:t xml:space="preserve">66, de la Ley de Catastro Municipal del Estado, el impuesto a pagar será el que resulte de la aplicación de las tasas y cuotas fijas a que se refiere la presente sección.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CAPITULO TERCERO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IMPUESTOS SOBRE LA PRODUCCIÓN, EL CONSUMO Y LAS TRANSACCIONES</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PRIMERA SECCIÓN</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DEL IMPUESTO SOBRE TRANSMISIONES PATRIMONIALES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23.- Este impuesto se causará y pagará de conformidad con lo previsto en el capítulo correspondiente de la Ley de Hacienda Municipal del Estado de Jalisco, aplicando la siguiente: </w:t>
      </w:r>
    </w:p>
    <w:p w:rsidR="00DA389F" w:rsidRPr="006B7EB5" w:rsidRDefault="00DA389F" w:rsidP="00DA389F">
      <w:pPr>
        <w:spacing w:line="360" w:lineRule="auto"/>
        <w:rPr>
          <w:rFonts w:ascii="Arial" w:hAnsi="Arial" w:cs="Arial"/>
          <w:sz w:val="24"/>
          <w:szCs w:val="24"/>
        </w:rPr>
      </w:pP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47"/>
        <w:gridCol w:w="1547"/>
        <w:gridCol w:w="1242"/>
        <w:gridCol w:w="2488"/>
      </w:tblGrid>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LIMITE INFERIOR</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LIMITE SUPERIOR</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CUOTA FIJA</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TASA MARGINAL SOBRE EXCEDENTE LÍMITE INFERIOR</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$500,000.00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$4,000.00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2.05%</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$500,000.01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$1,000,000.00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$10,150.00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2.10%</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$1,000.000.01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$1,500,000.00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$20,650.00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2.15%</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$1,500,000.01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$31,400.00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2.20%</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$2,500,000.00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$42,400.00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2.30%</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$2,500,000.01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$3,000,000.00</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$53,900.00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2.40%</w:t>
            </w:r>
          </w:p>
        </w:tc>
      </w:tr>
      <w:tr w:rsidR="00DA389F" w:rsidRPr="0007058E" w:rsidTr="00DA389F">
        <w:trPr>
          <w:trHeight w:val="20"/>
          <w:jc w:val="center"/>
        </w:trPr>
        <w:tc>
          <w:tcPr>
            <w:tcW w:w="134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$3,000,000.01</w:t>
            </w:r>
          </w:p>
        </w:tc>
        <w:tc>
          <w:tcPr>
            <w:tcW w:w="1411"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en adelante</w:t>
            </w:r>
          </w:p>
        </w:tc>
        <w:tc>
          <w:tcPr>
            <w:tcW w:w="123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$65,900.00</w:t>
            </w:r>
          </w:p>
        </w:tc>
        <w:tc>
          <w:tcPr>
            <w:tcW w:w="2828"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2.50%</w:t>
            </w: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Tratándose de la adquisición de departamentos, viviendas y casas nuevas, destinadas para habitación, cuya base fiscal no sea mayor a los $200,000.00, previa comprobación de que los contribuyentes no son propietarios de otros bienes inmuebles en este Municipio y que se trate de la primera enajenación, el impuesto sobre transmisiones patrimoniales se causará y pagará conforme a la siguiente: </w:t>
      </w:r>
    </w:p>
    <w:p w:rsidR="00DA389F" w:rsidRPr="006B7EB5" w:rsidRDefault="00DA389F" w:rsidP="00DA389F">
      <w:pPr>
        <w:spacing w:line="360" w:lineRule="auto"/>
        <w:rPr>
          <w:rFonts w:ascii="Arial" w:hAnsi="Arial" w:cs="Arial"/>
          <w:sz w:val="24"/>
          <w:szCs w:val="24"/>
        </w:rPr>
      </w:pPr>
    </w:p>
    <w:tbl>
      <w:tblPr>
        <w:tblW w:w="6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65"/>
        <w:gridCol w:w="1414"/>
        <w:gridCol w:w="1294"/>
        <w:gridCol w:w="2679"/>
      </w:tblGrid>
      <w:tr w:rsidR="00DA389F" w:rsidRPr="0007058E" w:rsidTr="00DA389F">
        <w:trPr>
          <w:trHeight w:val="20"/>
          <w:jc w:val="center"/>
        </w:trPr>
        <w:tc>
          <w:tcPr>
            <w:tcW w:w="1276"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LIMITE INFERIOR</w:t>
            </w:r>
          </w:p>
        </w:tc>
        <w:tc>
          <w:tcPr>
            <w:tcW w:w="141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LIMITE SUPERIOR</w:t>
            </w:r>
          </w:p>
        </w:tc>
        <w:tc>
          <w:tcPr>
            <w:tcW w:w="1314"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CUOTA FIJA</w:t>
            </w:r>
          </w:p>
        </w:tc>
        <w:tc>
          <w:tcPr>
            <w:tcW w:w="2745"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TASA MARGINAL SOBRE EXCEDENTE LÍMITE INFERIOR</w:t>
            </w:r>
          </w:p>
        </w:tc>
      </w:tr>
      <w:tr w:rsidR="00DA389F" w:rsidRPr="0007058E" w:rsidTr="00DA389F">
        <w:trPr>
          <w:trHeight w:val="20"/>
          <w:jc w:val="center"/>
        </w:trPr>
        <w:tc>
          <w:tcPr>
            <w:tcW w:w="1276"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$0.01</w:t>
            </w:r>
          </w:p>
        </w:tc>
        <w:tc>
          <w:tcPr>
            <w:tcW w:w="141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$90,000.00</w:t>
            </w:r>
          </w:p>
        </w:tc>
        <w:tc>
          <w:tcPr>
            <w:tcW w:w="1314"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$0.00</w:t>
            </w:r>
          </w:p>
        </w:tc>
        <w:tc>
          <w:tcPr>
            <w:tcW w:w="2745"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0.20%</w:t>
            </w:r>
          </w:p>
        </w:tc>
      </w:tr>
      <w:tr w:rsidR="00DA389F" w:rsidRPr="0007058E" w:rsidTr="00DA389F">
        <w:trPr>
          <w:trHeight w:val="20"/>
          <w:jc w:val="center"/>
        </w:trPr>
        <w:tc>
          <w:tcPr>
            <w:tcW w:w="1276"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$90,000.01</w:t>
            </w:r>
          </w:p>
        </w:tc>
        <w:tc>
          <w:tcPr>
            <w:tcW w:w="141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$125,000.00</w:t>
            </w:r>
          </w:p>
        </w:tc>
        <w:tc>
          <w:tcPr>
            <w:tcW w:w="1314"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$180.00</w:t>
            </w:r>
          </w:p>
        </w:tc>
        <w:tc>
          <w:tcPr>
            <w:tcW w:w="2745"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1.63%</w:t>
            </w:r>
          </w:p>
        </w:tc>
      </w:tr>
      <w:tr w:rsidR="00DA389F" w:rsidRPr="0007058E" w:rsidTr="00DA389F">
        <w:trPr>
          <w:trHeight w:val="20"/>
          <w:jc w:val="center"/>
        </w:trPr>
        <w:tc>
          <w:tcPr>
            <w:tcW w:w="1276"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$125,000.01</w:t>
            </w:r>
          </w:p>
        </w:tc>
        <w:tc>
          <w:tcPr>
            <w:tcW w:w="1417"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$200,000.00</w:t>
            </w:r>
          </w:p>
        </w:tc>
        <w:tc>
          <w:tcPr>
            <w:tcW w:w="1314"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$750.00</w:t>
            </w:r>
          </w:p>
        </w:tc>
        <w:tc>
          <w:tcPr>
            <w:tcW w:w="2745" w:type="dxa"/>
            <w:vAlign w:val="bottom"/>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3.00%</w:t>
            </w: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En las adquisiciones en copropiedad o de partes alícuotas del inmueble o de los derechos que se tengan sobre los mismos, la base del impuesto se dividirá entre todos los sujetos obligados, a los que se les aplicará la tasa en la proporción que a cada uno corresponda y tomando en cuenta la base total gravable.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II. En la titulación de terrenos ubicados en zonas de alta densidad y sujetos a regularización, mediante convenio con la dirección general de obras públicas, se les aplicará un factor de 0.1 sobre el monto del impuesto sobre transmisiones patrimoniales que les corresponda pagar a los adquirentes de los lotes hasta 100 metros cuadrados, siempre y cuando acrediten no ser propietarios de otro bien inmueble.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III. Tratándose de terrenos que sean materia de regularización por parte de la Comisión para la Regularización de la Tenencia de la Tierra o por el Programa de Certificación de Derechos Ejidales (PROCEDE) y/o Fondo de Apoyo para Núcleos Agrarios sin Regularizar (FANAR), los contribuyentes pagarán únicamente por concepto de impuesto las cuotas fijas que se mencionan a continuación:</w:t>
      </w:r>
    </w:p>
    <w:p w:rsidR="00DA389F" w:rsidRPr="006B7EB5" w:rsidRDefault="00DA389F" w:rsidP="00DA389F">
      <w:pPr>
        <w:spacing w:line="360" w:lineRule="auto"/>
        <w:rPr>
          <w:rFonts w:ascii="Arial" w:hAnsi="Arial" w:cs="Arial"/>
          <w:sz w:val="24"/>
          <w:szCs w:val="24"/>
        </w:rPr>
      </w:pP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20"/>
        <w:gridCol w:w="1620"/>
      </w:tblGrid>
      <w:tr w:rsidR="00DA389F" w:rsidRPr="0007058E" w:rsidTr="00DA389F">
        <w:trPr>
          <w:trHeight w:val="300"/>
          <w:jc w:val="center"/>
        </w:trPr>
        <w:tc>
          <w:tcPr>
            <w:tcW w:w="1620" w:type="dxa"/>
            <w:noWrap/>
            <w:vAlign w:val="center"/>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METROS CUADRADOS</w:t>
            </w:r>
          </w:p>
        </w:tc>
        <w:tc>
          <w:tcPr>
            <w:tcW w:w="1620" w:type="dxa"/>
            <w:noWrap/>
            <w:vAlign w:val="center"/>
          </w:tcPr>
          <w:p w:rsidR="00DA389F" w:rsidRPr="006B7EB5" w:rsidRDefault="00DA389F" w:rsidP="00DA389F">
            <w:pPr>
              <w:spacing w:line="360" w:lineRule="auto"/>
              <w:jc w:val="center"/>
              <w:rPr>
                <w:rFonts w:ascii="Arial" w:hAnsi="Arial" w:cs="Arial"/>
                <w:lang w:eastAsia="es-MX"/>
              </w:rPr>
            </w:pPr>
            <w:r w:rsidRPr="006B7EB5">
              <w:rPr>
                <w:rFonts w:ascii="Arial" w:hAnsi="Arial" w:cs="Arial"/>
                <w:lang w:eastAsia="es-MX"/>
              </w:rPr>
              <w:t>CUOTA FIJA</w:t>
            </w:r>
          </w:p>
        </w:tc>
      </w:tr>
      <w:tr w:rsidR="00DA389F" w:rsidRPr="0007058E" w:rsidTr="00DA389F">
        <w:trPr>
          <w:trHeight w:val="300"/>
          <w:jc w:val="center"/>
        </w:trPr>
        <w:tc>
          <w:tcPr>
            <w:tcW w:w="1620" w:type="dxa"/>
            <w:noWrap/>
            <w:vAlign w:val="center"/>
          </w:tcPr>
          <w:p w:rsidR="00DA389F" w:rsidRPr="006B7EB5" w:rsidRDefault="00DA389F" w:rsidP="00DA389F">
            <w:pPr>
              <w:spacing w:line="360" w:lineRule="auto"/>
              <w:jc w:val="center"/>
              <w:rPr>
                <w:rFonts w:ascii="Arial" w:hAnsi="Arial" w:cs="Arial"/>
                <w:lang w:eastAsia="es-MX"/>
              </w:rPr>
            </w:pPr>
            <w:smartTag w:uri="urn:schemas-microsoft-com:office:smarttags" w:element="metricconverter">
              <w:smartTagPr>
                <w:attr w:name="ProductID" w:val="0 a"/>
              </w:smartTagPr>
              <w:r w:rsidRPr="006B7EB5">
                <w:rPr>
                  <w:rFonts w:ascii="Arial" w:hAnsi="Arial" w:cs="Arial"/>
                  <w:lang w:eastAsia="es-MX"/>
                </w:rPr>
                <w:t>0 a</w:t>
              </w:r>
            </w:smartTag>
            <w:r w:rsidRPr="006B7EB5">
              <w:rPr>
                <w:rFonts w:ascii="Arial" w:hAnsi="Arial" w:cs="Arial"/>
                <w:lang w:eastAsia="es-MX"/>
              </w:rPr>
              <w:t xml:space="preserve"> 300</w:t>
            </w:r>
          </w:p>
        </w:tc>
        <w:tc>
          <w:tcPr>
            <w:tcW w:w="1620" w:type="dxa"/>
            <w:noWrap/>
            <w:vAlign w:val="center"/>
          </w:tcPr>
          <w:p w:rsidR="00DA389F" w:rsidRPr="006B7EB5" w:rsidRDefault="00DA389F" w:rsidP="00DA389F">
            <w:pPr>
              <w:spacing w:line="360" w:lineRule="auto"/>
              <w:jc w:val="center"/>
              <w:rPr>
                <w:rFonts w:ascii="Arial" w:hAnsi="Arial" w:cs="Arial"/>
                <w:lang w:eastAsia="es-MX"/>
              </w:rPr>
            </w:pPr>
            <w:r>
              <w:rPr>
                <w:rFonts w:ascii="Arial" w:hAnsi="Arial" w:cs="Arial"/>
                <w:lang w:eastAsia="es-MX"/>
              </w:rPr>
              <w:t>$42.36</w:t>
            </w:r>
          </w:p>
        </w:tc>
      </w:tr>
      <w:tr w:rsidR="00DA389F" w:rsidRPr="0007058E" w:rsidTr="00DA389F">
        <w:trPr>
          <w:trHeight w:val="300"/>
          <w:jc w:val="center"/>
        </w:trPr>
        <w:tc>
          <w:tcPr>
            <w:tcW w:w="1620" w:type="dxa"/>
            <w:noWrap/>
            <w:vAlign w:val="center"/>
          </w:tcPr>
          <w:p w:rsidR="00DA389F" w:rsidRPr="006B7EB5" w:rsidRDefault="00DA389F" w:rsidP="00DA389F">
            <w:pPr>
              <w:spacing w:line="360" w:lineRule="auto"/>
              <w:jc w:val="center"/>
              <w:rPr>
                <w:rFonts w:ascii="Arial" w:hAnsi="Arial" w:cs="Arial"/>
                <w:lang w:eastAsia="es-MX"/>
              </w:rPr>
            </w:pPr>
            <w:smartTag w:uri="urn:schemas-microsoft-com:office:smarttags" w:element="metricconverter">
              <w:smartTagPr>
                <w:attr w:name="ProductID" w:val="301 a"/>
              </w:smartTagPr>
              <w:r w:rsidRPr="006B7EB5">
                <w:rPr>
                  <w:rFonts w:ascii="Arial" w:hAnsi="Arial" w:cs="Arial"/>
                  <w:lang w:eastAsia="es-MX"/>
                </w:rPr>
                <w:t>301 a</w:t>
              </w:r>
            </w:smartTag>
            <w:r w:rsidRPr="006B7EB5">
              <w:rPr>
                <w:rFonts w:ascii="Arial" w:hAnsi="Arial" w:cs="Arial"/>
                <w:lang w:eastAsia="es-MX"/>
              </w:rPr>
              <w:t xml:space="preserve"> 450</w:t>
            </w:r>
          </w:p>
        </w:tc>
        <w:tc>
          <w:tcPr>
            <w:tcW w:w="1620" w:type="dxa"/>
            <w:noWrap/>
            <w:vAlign w:val="center"/>
          </w:tcPr>
          <w:p w:rsidR="00DA389F" w:rsidRPr="006B7EB5" w:rsidRDefault="00DA389F" w:rsidP="00DA389F">
            <w:pPr>
              <w:spacing w:line="360" w:lineRule="auto"/>
              <w:jc w:val="center"/>
              <w:rPr>
                <w:rFonts w:ascii="Arial" w:hAnsi="Arial" w:cs="Arial"/>
                <w:lang w:eastAsia="es-MX"/>
              </w:rPr>
            </w:pPr>
            <w:r>
              <w:rPr>
                <w:rFonts w:ascii="Arial" w:hAnsi="Arial" w:cs="Arial"/>
                <w:lang w:eastAsia="es-MX"/>
              </w:rPr>
              <w:t>$62.81</w:t>
            </w:r>
          </w:p>
        </w:tc>
      </w:tr>
      <w:tr w:rsidR="00DA389F" w:rsidRPr="0007058E" w:rsidTr="00DA389F">
        <w:trPr>
          <w:trHeight w:val="300"/>
          <w:jc w:val="center"/>
        </w:trPr>
        <w:tc>
          <w:tcPr>
            <w:tcW w:w="1620" w:type="dxa"/>
            <w:noWrap/>
            <w:vAlign w:val="center"/>
          </w:tcPr>
          <w:p w:rsidR="00DA389F" w:rsidRPr="006B7EB5" w:rsidRDefault="00DA389F" w:rsidP="00DA389F">
            <w:pPr>
              <w:spacing w:line="360" w:lineRule="auto"/>
              <w:jc w:val="center"/>
              <w:rPr>
                <w:rFonts w:ascii="Arial" w:hAnsi="Arial" w:cs="Arial"/>
                <w:lang w:eastAsia="es-MX"/>
              </w:rPr>
            </w:pPr>
            <w:smartTag w:uri="urn:schemas-microsoft-com:office:smarttags" w:element="metricconverter">
              <w:smartTagPr>
                <w:attr w:name="ProductID" w:val="451 a"/>
              </w:smartTagPr>
              <w:r w:rsidRPr="006B7EB5">
                <w:rPr>
                  <w:rFonts w:ascii="Arial" w:hAnsi="Arial" w:cs="Arial"/>
                  <w:lang w:eastAsia="es-MX"/>
                </w:rPr>
                <w:t>451 a</w:t>
              </w:r>
            </w:smartTag>
            <w:r w:rsidRPr="006B7EB5">
              <w:rPr>
                <w:rFonts w:ascii="Arial" w:hAnsi="Arial" w:cs="Arial"/>
                <w:lang w:eastAsia="es-MX"/>
              </w:rPr>
              <w:t xml:space="preserve"> 600</w:t>
            </w:r>
          </w:p>
        </w:tc>
        <w:tc>
          <w:tcPr>
            <w:tcW w:w="1620" w:type="dxa"/>
            <w:noWrap/>
            <w:vAlign w:val="center"/>
          </w:tcPr>
          <w:p w:rsidR="00DA389F" w:rsidRPr="006B7EB5" w:rsidRDefault="00DA389F" w:rsidP="00DA389F">
            <w:pPr>
              <w:spacing w:line="360" w:lineRule="auto"/>
              <w:jc w:val="center"/>
              <w:rPr>
                <w:rFonts w:ascii="Arial" w:hAnsi="Arial" w:cs="Arial"/>
                <w:lang w:eastAsia="es-MX"/>
              </w:rPr>
            </w:pPr>
            <w:r>
              <w:rPr>
                <w:rFonts w:ascii="Arial" w:hAnsi="Arial" w:cs="Arial"/>
                <w:lang w:eastAsia="es-MX"/>
              </w:rPr>
              <w:t>$102.98</w:t>
            </w: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En el caso de predios que sean materia de regularización y cuya superficie sea superior a 600 metros cuadrados, los contribuyentes pagarán el impuesto que les corresponda conforme a la aplicación de las dos primeras tablas del presente artículo.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IV. Tratándose de terrenos que sean materia de regularización por parte de la Comisión municipal de regularización (COMUR), regulados conforme al procedimiento establecido en la Ley para la Regularización y Titulación de Predios Urbanos en el Estado de Jalisco, pagarán el impuesto sobre trasmisiones patrimoniales la tasa del 1% al valor catastral determinado.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SECCIÓN SEGUNDA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Del impuesto sobre negocios jurídicos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24.- Este impuesto se causará y pagará respecto de los actos o contratos, cuando su objeto sea la construcción, reconstrucción o ampliación de inmuebles, y de conformidad con lo previsto en el capítulo correspondiente de la Ley de Hacienda Municipal del Estado de Jalisco, aplicando la tasa del.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t>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Quedan exentos de este impuesto, los actos o contratos a que se refiere la fracción VI, de artículo 131 bis, de la Ley de Hacienda Municipal del Estado de Jalisco.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CAPITULO CUARTO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Accesorios de los impuestos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25.- Los ingresos por concepto de accesorios derivados por la falta de pago de los impuestos señalados en este Título de Impuestos, son los que se perciben por: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I. Recargos; </w:t>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Los recargos se causarán conforme a lo establecido por la Ley de Hacienda Municipal del Estado de Jalisco, en vigor.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Multas;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Intereses;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IV. Gastos de Ejecución;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V. Indemnizaciones;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VI. Otros no especificados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26.- Dichos concepto son accesorios de los impuestos y participan de la naturaleza de éstos.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Artículo 27.- Multas derivadas del incumplimiento en la forma, fecha y términos, que establezcan las disposiciones fiscales, del pago de los impuestos, siempre que no esté considerada otra sanción en las demás disposiciones establecidas en la presente Ley, sobre el crédito omitido, del:</w:t>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t>10%</w:t>
      </w:r>
      <w:r w:rsidRPr="006B7EB5">
        <w:rPr>
          <w:rFonts w:ascii="Arial" w:eastAsia="Times New Roman" w:hAnsi="Arial" w:cs="Arial"/>
          <w:sz w:val="24"/>
          <w:szCs w:val="24"/>
          <w:lang w:eastAsia="es-MX"/>
        </w:rPr>
        <w:tab/>
      </w:r>
      <w:r>
        <w:rPr>
          <w:rFonts w:ascii="Arial" w:eastAsia="Times New Roman" w:hAnsi="Arial" w:cs="Arial"/>
          <w:sz w:val="24"/>
          <w:szCs w:val="24"/>
          <w:lang w:eastAsia="es-MX"/>
        </w:rPr>
        <w:t xml:space="preserve">a     </w:t>
      </w:r>
      <w:r w:rsidRPr="006B7EB5">
        <w:rPr>
          <w:rFonts w:ascii="Arial" w:eastAsia="Times New Roman" w:hAnsi="Arial" w:cs="Arial"/>
          <w:sz w:val="24"/>
          <w:szCs w:val="24"/>
          <w:lang w:eastAsia="es-MX"/>
        </w:rPr>
        <w:t>30%</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28.- La tasa de recargos por falta de pago oportuno de los créditos fiscales será del 1% mensual.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29.- Cuando se concedan plazos para cubrir créditos fiscales, la tasa de interés será el costo porcentual promedio (C.P.P.), del mes inmediato anterior, que determine el Banco de México.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Artículo 30.- Los gastos de ejecución y de embargo se cubrirán a la Hacienda Municipal, conjuntamente con el crédito fiscal, conforme a las siguientes bases: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Por gastos de ejecución: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Por la notificación de requerimiento de pago de créditos fiscales, no cubiertos en los plazos establecidos: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Cuando se realicen en la cabecera municipal, el 5% sin qu</w:t>
      </w:r>
      <w:r>
        <w:rPr>
          <w:rFonts w:ascii="Arial" w:eastAsia="Times New Roman" w:hAnsi="Arial" w:cs="Arial"/>
          <w:sz w:val="24"/>
          <w:szCs w:val="24"/>
          <w:lang w:eastAsia="es-MX"/>
        </w:rPr>
        <w:t>e su importe sea menor a $73.04</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b) Cuando se realice fuera de la cabecera municipal el 8%, sin que</w:t>
      </w:r>
      <w:r>
        <w:rPr>
          <w:rFonts w:ascii="Arial" w:eastAsia="Times New Roman" w:hAnsi="Arial" w:cs="Arial"/>
          <w:sz w:val="24"/>
          <w:szCs w:val="24"/>
          <w:lang w:eastAsia="es-MX"/>
        </w:rPr>
        <w:t xml:space="preserve"> su importe sea menor a $73.04</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Por gastos de embargo: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Las diligencias de embargo, así como las de remoción del deudor como depositario, que impliquen extracción de bienes: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Cuando se realicen en la cabecera municipal, el 5%; y.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Cuando se realicen fuera de la cabecera municipal, el 8%,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III. Los demás gastos que sean erogados en el procedimiento, serán reembolsados al Ayuntamiento por los contribuyentes.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El cobro de honorarios conforme a las tarifas señaladas, en ningún caso, excederá de los siguientes límites: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Pr>
          <w:rFonts w:ascii="Arial" w:eastAsia="Times New Roman" w:hAnsi="Arial" w:cs="Arial"/>
          <w:sz w:val="24"/>
          <w:szCs w:val="24"/>
          <w:lang w:eastAsia="es-MX"/>
        </w:rPr>
        <w:lastRenderedPageBreak/>
        <w:t>a) Del importe de $2</w:t>
      </w:r>
      <w:r w:rsidRPr="006B7EB5">
        <w:rPr>
          <w:rFonts w:ascii="Arial" w:eastAsia="Times New Roman" w:hAnsi="Arial" w:cs="Arial"/>
          <w:sz w:val="24"/>
          <w:szCs w:val="24"/>
          <w:lang w:eastAsia="es-MX"/>
        </w:rPr>
        <w:t>,</w:t>
      </w:r>
      <w:r>
        <w:rPr>
          <w:rFonts w:ascii="Arial" w:eastAsia="Times New Roman" w:hAnsi="Arial" w:cs="Arial"/>
          <w:sz w:val="24"/>
          <w:szCs w:val="24"/>
          <w:lang w:eastAsia="es-MX"/>
        </w:rPr>
        <w:t>191.20</w:t>
      </w:r>
      <w:r w:rsidRPr="006B7EB5">
        <w:rPr>
          <w:rFonts w:ascii="Arial" w:eastAsia="Times New Roman" w:hAnsi="Arial" w:cs="Arial"/>
          <w:sz w:val="24"/>
          <w:szCs w:val="24"/>
          <w:lang w:eastAsia="es-MX"/>
        </w:rPr>
        <w:t xml:space="preserve"> por requerimientos no satisfechos dentro de los plazos legales, de cuyo posterior cumplimiento se derive el pago extemporáneo de prestaciones fiscales.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Pr>
          <w:rFonts w:ascii="Arial" w:eastAsia="Times New Roman" w:hAnsi="Arial" w:cs="Arial"/>
          <w:sz w:val="24"/>
          <w:szCs w:val="24"/>
          <w:lang w:eastAsia="es-MX"/>
        </w:rPr>
        <w:t>b) Del importe de $3</w:t>
      </w:r>
      <w:r w:rsidRPr="006B7EB5">
        <w:rPr>
          <w:rFonts w:ascii="Arial" w:eastAsia="Times New Roman" w:hAnsi="Arial" w:cs="Arial"/>
          <w:sz w:val="24"/>
          <w:szCs w:val="24"/>
          <w:lang w:eastAsia="es-MX"/>
        </w:rPr>
        <w:t>,</w:t>
      </w:r>
      <w:r>
        <w:rPr>
          <w:rFonts w:ascii="Arial" w:eastAsia="Times New Roman" w:hAnsi="Arial" w:cs="Arial"/>
          <w:sz w:val="24"/>
          <w:szCs w:val="24"/>
          <w:lang w:eastAsia="es-MX"/>
        </w:rPr>
        <w:t>286.80</w:t>
      </w:r>
      <w:r w:rsidRPr="006B7EB5">
        <w:rPr>
          <w:rFonts w:ascii="Arial" w:eastAsia="Times New Roman" w:hAnsi="Arial" w:cs="Arial"/>
          <w:sz w:val="24"/>
          <w:szCs w:val="24"/>
          <w:lang w:eastAsia="es-MX"/>
        </w:rPr>
        <w:t xml:space="preserve"> por diligencia de embargo y por las de remoción del deudor como depositario, que impliquen extracción de bienes.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Todos los gastos de ejecución serán a cargo del contribuyente, en ningún caso, podrán ser condonados total o parcialmente.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CAPITULO QUINTO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Otros impuestos</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SECCIÓN ÚNICA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 los impuestos extraordinarios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31.- El Municipio percibirá los impuestos extraordinarios establecidos o que se establezcan por las Leyes fiscales durante el ejercicio fiscal del año </w:t>
      </w:r>
      <w:r>
        <w:rPr>
          <w:rFonts w:ascii="Arial" w:eastAsia="Times New Roman" w:hAnsi="Arial" w:cs="Arial"/>
          <w:sz w:val="24"/>
          <w:szCs w:val="24"/>
          <w:lang w:eastAsia="es-MX"/>
        </w:rPr>
        <w:t>2018</w:t>
      </w:r>
      <w:r w:rsidRPr="006B7EB5">
        <w:rPr>
          <w:rFonts w:ascii="Arial" w:eastAsia="Times New Roman" w:hAnsi="Arial" w:cs="Arial"/>
          <w:sz w:val="24"/>
          <w:szCs w:val="24"/>
          <w:lang w:eastAsia="es-MX"/>
        </w:rPr>
        <w:t xml:space="preserve">, en la cuantía y sobre las fuentes impositivas que se determinen, y conforme al procedimiento que se señale para su recaudación.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TÍTULO TERCERO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Contribuciones de mejora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CAPÍTULO ÚNICO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Contribuciones de mejora por obras públicas</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Artículo 32.- El Municipio percibirá los ingresos derivador del establecimiento de contribuciones de mejora sobre el incremento de valor o mejoría específica de la propiedad raíz derivados de la ejecución de una obra pública, conforme al Código Urbano del Estado de Jalisco, la Ley de Hacienda Municipal del Estado de Jalisco y a las bases, montos y circunstancias en que lo determine el decreto específico que, sobre el particular, emita el Congreso del Estado.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TÍTULO CUARTO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 los derechos</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CAPÍTULO PRIMERO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Derecho por uso, goce, aprovechamiento o explotación de bienes de dominio público</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SECCIÓN PRIMERA</w:t>
      </w:r>
    </w:p>
    <w:p w:rsidR="00DA389F" w:rsidRPr="006B7EB5" w:rsidRDefault="00DA389F" w:rsidP="00DA389F">
      <w:pPr>
        <w:spacing w:line="360" w:lineRule="auto"/>
        <w:jc w:val="center"/>
        <w:rPr>
          <w:rFonts w:ascii="Arial" w:eastAsia="Times New Roman" w:hAnsi="Arial" w:cs="Arial"/>
          <w:b/>
          <w:bCs/>
          <w:sz w:val="24"/>
          <w:szCs w:val="24"/>
          <w:lang w:eastAsia="es-MX"/>
        </w:rPr>
      </w:pPr>
      <w:r w:rsidRPr="006B7EB5">
        <w:rPr>
          <w:rFonts w:ascii="Arial" w:eastAsia="Times New Roman" w:hAnsi="Arial" w:cs="Arial"/>
          <w:b/>
          <w:bCs/>
          <w:sz w:val="24"/>
          <w:szCs w:val="24"/>
          <w:lang w:eastAsia="es-MX"/>
        </w:rPr>
        <w:t>DEL USO DEL PISO</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33.- Quienes hagan uso del piso en la vía pública en forma permanente, pagarán mensualmente, los derechos correspondientes, conforme a la siguiente: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TARIFA</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Estacionamientos exclusivos, mensualmente por metro lineal: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 En cordón: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$ 9.49 </w:t>
      </w:r>
      <w:r>
        <w:rPr>
          <w:rFonts w:ascii="Arial" w:eastAsia="Times New Roman" w:hAnsi="Arial" w:cs="Arial"/>
          <w:sz w:val="24"/>
          <w:szCs w:val="24"/>
          <w:lang w:eastAsia="es-MX"/>
        </w:rPr>
        <w:tab/>
        <w:t xml:space="preserve"> </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En batería: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$12.41</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Puestos fijos, semifijos, por metro cuadrado: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1.- En el pri</w:t>
      </w:r>
      <w:r>
        <w:rPr>
          <w:rFonts w:ascii="Arial" w:eastAsia="Times New Roman" w:hAnsi="Arial" w:cs="Arial"/>
          <w:sz w:val="24"/>
          <w:szCs w:val="24"/>
          <w:lang w:eastAsia="es-MX"/>
        </w:rPr>
        <w:t xml:space="preserve">mer cuadro, de: </w:t>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$10.22</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2.- Fuera del pri</w:t>
      </w:r>
      <w:r>
        <w:rPr>
          <w:rFonts w:ascii="Arial" w:eastAsia="Times New Roman" w:hAnsi="Arial" w:cs="Arial"/>
          <w:sz w:val="24"/>
          <w:szCs w:val="24"/>
          <w:lang w:eastAsia="es-MX"/>
        </w:rPr>
        <w:t xml:space="preserve">mer cuadro, de: </w:t>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$8.03</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 xml:space="preserve">III. Por uso diferente del que corresponda a la naturaleza de las servidumbres, tales como banquetas, jardines, machuelos y otros, por metro cuadrado, de: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$10.95</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IV. Puestos que se establezcan en forma periódica, por cada uno, por metro cuadrado, de: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$15.33</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V. Para otros fines o actividades no previstos en este artículo, por metro cuadrado</w:t>
      </w:r>
      <w:r>
        <w:rPr>
          <w:rFonts w:ascii="Arial" w:eastAsia="Times New Roman" w:hAnsi="Arial" w:cs="Arial"/>
          <w:sz w:val="24"/>
          <w:szCs w:val="24"/>
          <w:lang w:eastAsia="es-MX"/>
        </w:rPr>
        <w:t xml:space="preserve"> o lineal, según el caso, de: </w:t>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$17.52</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Artículo 34.- Quienes hagan uso del piso en la vía pública eventualmente, pagarán diariamente los derechos correspondientes conforme a la siguiente: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TARIFA</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 Actividades comerciales o industriales, por metro cuadrado: </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p>
    <w:p w:rsidR="00DA389F"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a) En el primer cuadro, en</w:t>
      </w:r>
      <w:r>
        <w:rPr>
          <w:rFonts w:ascii="Arial" w:eastAsia="Times New Roman" w:hAnsi="Arial" w:cs="Arial"/>
          <w:sz w:val="24"/>
          <w:szCs w:val="24"/>
          <w:lang w:eastAsia="es-MX"/>
        </w:rPr>
        <w:t xml:space="preserve"> período de festividades, de: </w:t>
      </w:r>
      <w:r>
        <w:rPr>
          <w:rFonts w:ascii="Arial" w:eastAsia="Times New Roman" w:hAnsi="Arial" w:cs="Arial"/>
          <w:sz w:val="24"/>
          <w:szCs w:val="24"/>
          <w:lang w:eastAsia="es-MX"/>
        </w:rPr>
        <w:tab/>
        <w:t xml:space="preserve">  $52.58</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b) En el primer cuadro, </w:t>
      </w:r>
      <w:r>
        <w:rPr>
          <w:rFonts w:ascii="Arial" w:eastAsia="Times New Roman" w:hAnsi="Arial" w:cs="Arial"/>
          <w:sz w:val="24"/>
          <w:szCs w:val="24"/>
          <w:lang w:eastAsia="es-MX"/>
        </w:rPr>
        <w:t xml:space="preserve">en períodos ordinarios, de: </w:t>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$27.02</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c) Fuera del primer cuadro, en</w:t>
      </w:r>
      <w:r>
        <w:rPr>
          <w:rFonts w:ascii="Arial" w:eastAsia="Times New Roman" w:hAnsi="Arial" w:cs="Arial"/>
          <w:sz w:val="24"/>
          <w:szCs w:val="24"/>
          <w:lang w:eastAsia="es-MX"/>
        </w:rPr>
        <w:t xml:space="preserve"> período de festividades, de: </w:t>
      </w:r>
      <w:r>
        <w:rPr>
          <w:rFonts w:ascii="Arial" w:eastAsia="Times New Roman" w:hAnsi="Arial" w:cs="Arial"/>
          <w:sz w:val="24"/>
          <w:szCs w:val="24"/>
          <w:lang w:eastAsia="es-MX"/>
        </w:rPr>
        <w:tab/>
        <w:t xml:space="preserve">  $24.83</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d) Fuera del primer cuadro</w:t>
      </w:r>
      <w:r>
        <w:rPr>
          <w:rFonts w:ascii="Arial" w:eastAsia="Times New Roman" w:hAnsi="Arial" w:cs="Arial"/>
          <w:sz w:val="24"/>
          <w:szCs w:val="24"/>
          <w:lang w:eastAsia="es-MX"/>
        </w:rPr>
        <w:t xml:space="preserve">, en períodos ordinarios, de: </w:t>
      </w:r>
      <w:r>
        <w:rPr>
          <w:rFonts w:ascii="Arial" w:eastAsia="Times New Roman" w:hAnsi="Arial" w:cs="Arial"/>
          <w:sz w:val="24"/>
          <w:szCs w:val="24"/>
          <w:lang w:eastAsia="es-MX"/>
        </w:rPr>
        <w:tab/>
        <w:t xml:space="preserve">  $18.26</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II. Espectáculos y diversiones públicas, por metro cuadrado, de: </w:t>
      </w:r>
    </w:p>
    <w:p w:rsidR="00DA389F" w:rsidRPr="006B7EB5" w:rsidRDefault="00DA389F" w:rsidP="00DA389F">
      <w:pPr>
        <w:spacing w:line="360" w:lineRule="auto"/>
        <w:rPr>
          <w:rFonts w:ascii="Arial" w:eastAsia="Times New Roman" w:hAnsi="Arial" w:cs="Arial"/>
          <w:sz w:val="24"/>
          <w:szCs w:val="24"/>
          <w:lang w:eastAsia="es-MX"/>
        </w:rPr>
      </w:pP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$5.84</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III. Tapiales, andamios, materiales, maquinaria y equipo, colocados en la vía pública, por metro cuadrado:</w:t>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sidRPr="006B7EB5">
        <w:rPr>
          <w:rFonts w:ascii="Arial" w:eastAsia="Times New Roman" w:hAnsi="Arial" w:cs="Arial"/>
          <w:sz w:val="24"/>
          <w:szCs w:val="24"/>
          <w:lang w:eastAsia="es-MX"/>
        </w:rPr>
        <w:tab/>
      </w:r>
      <w:r>
        <w:rPr>
          <w:rFonts w:ascii="Arial" w:eastAsia="Times New Roman" w:hAnsi="Arial" w:cs="Arial"/>
          <w:sz w:val="24"/>
          <w:szCs w:val="24"/>
          <w:lang w:eastAsia="es-MX"/>
        </w:rPr>
        <w:tab/>
        <w:t xml:space="preserve">  $7.30</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lastRenderedPageBreak/>
        <w:t>IV. Graderías y sillerías que se instalen en la vía públi</w:t>
      </w:r>
      <w:r>
        <w:rPr>
          <w:rFonts w:ascii="Arial" w:eastAsia="Times New Roman" w:hAnsi="Arial" w:cs="Arial"/>
          <w:sz w:val="24"/>
          <w:szCs w:val="24"/>
          <w:lang w:eastAsia="es-MX"/>
        </w:rPr>
        <w:t xml:space="preserve">ca, por metro cuadrado: </w:t>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$212.54</w:t>
      </w:r>
      <w:r w:rsidRPr="006B7EB5">
        <w:rPr>
          <w:rFonts w:ascii="Arial" w:eastAsia="Times New Roman" w:hAnsi="Arial" w:cs="Arial"/>
          <w:sz w:val="24"/>
          <w:szCs w:val="24"/>
          <w:lang w:eastAsia="es-MX"/>
        </w:rPr>
        <w:t xml:space="preserve"> </w:t>
      </w:r>
    </w:p>
    <w:p w:rsidR="00DA389F" w:rsidRPr="006B7EB5" w:rsidRDefault="00DA389F" w:rsidP="00DA389F">
      <w:pPr>
        <w:spacing w:line="360" w:lineRule="auto"/>
        <w:rPr>
          <w:rFonts w:ascii="Arial" w:eastAsia="Times New Roman" w:hAnsi="Arial" w:cs="Arial"/>
          <w:sz w:val="24"/>
          <w:szCs w:val="24"/>
          <w:lang w:eastAsia="es-MX"/>
        </w:rPr>
      </w:pPr>
      <w:r w:rsidRPr="006B7EB5">
        <w:rPr>
          <w:rFonts w:ascii="Arial" w:eastAsia="Times New Roman" w:hAnsi="Arial" w:cs="Arial"/>
          <w:sz w:val="24"/>
          <w:szCs w:val="24"/>
          <w:lang w:eastAsia="es-MX"/>
        </w:rPr>
        <w:t xml:space="preserve">V. Otros puestos eventuales no previstos, por metro cuadrado: </w:t>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r>
      <w:r>
        <w:rPr>
          <w:rFonts w:ascii="Arial" w:eastAsia="Times New Roman" w:hAnsi="Arial" w:cs="Arial"/>
          <w:sz w:val="24"/>
          <w:szCs w:val="24"/>
          <w:lang w:eastAsia="es-MX"/>
        </w:rPr>
        <w:tab/>
        <w:t xml:space="preserve">  $13.14</w:t>
      </w:r>
    </w:p>
    <w:p w:rsidR="00DA389F" w:rsidRPr="006B7EB5" w:rsidRDefault="00DA389F" w:rsidP="00DA389F">
      <w:pPr>
        <w:spacing w:line="360" w:lineRule="auto"/>
        <w:rPr>
          <w:rFonts w:ascii="Arial" w:eastAsia="Times New Roman" w:hAnsi="Arial" w:cs="Arial"/>
          <w:sz w:val="24"/>
          <w:szCs w:val="24"/>
          <w:lang w:eastAsia="es-MX"/>
        </w:rPr>
      </w:pPr>
    </w:p>
    <w:p w:rsidR="00DA389F" w:rsidRDefault="00DA389F" w:rsidP="00DA389F">
      <w:pPr>
        <w:spacing w:line="360" w:lineRule="auto"/>
        <w:jc w:val="center"/>
        <w:rPr>
          <w:rFonts w:ascii="Arial" w:hAnsi="Arial" w:cs="Arial"/>
          <w:b/>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SEGUNDA</w:t>
      </w:r>
    </w:p>
    <w:p w:rsidR="00DA389F" w:rsidRPr="006B7EB5" w:rsidRDefault="00DA389F" w:rsidP="00DA389F">
      <w:pPr>
        <w:spacing w:line="360" w:lineRule="auto"/>
        <w:jc w:val="center"/>
        <w:rPr>
          <w:rFonts w:ascii="Arial" w:hAnsi="Arial" w:cs="Arial"/>
          <w:sz w:val="24"/>
          <w:szCs w:val="24"/>
        </w:rPr>
      </w:pPr>
      <w:r w:rsidRPr="006B7EB5">
        <w:rPr>
          <w:rFonts w:ascii="Arial" w:hAnsi="Arial" w:cs="Arial"/>
          <w:b/>
          <w:sz w:val="24"/>
          <w:szCs w:val="24"/>
        </w:rPr>
        <w:t>De los estacionamientos</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35.- Las personas físicas o jurídicas, concesionarias del servicio público de estacionamientos o usuarios de tiempo medido en la vía pública, pagarán los derechos conforme a lo estipulado en el contrato–concesión y a la tarifa que acuerde el Ayuntamiento y apruebe el Congreso del Estado.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TERCERA</w:t>
      </w:r>
    </w:p>
    <w:p w:rsidR="00DA389F" w:rsidRPr="006B7EB5" w:rsidRDefault="00DA389F" w:rsidP="00DA389F">
      <w:pPr>
        <w:spacing w:line="360" w:lineRule="auto"/>
        <w:jc w:val="center"/>
        <w:rPr>
          <w:rFonts w:ascii="Arial" w:hAnsi="Arial" w:cs="Arial"/>
          <w:sz w:val="24"/>
          <w:szCs w:val="24"/>
        </w:rPr>
      </w:pPr>
      <w:r w:rsidRPr="006B7EB5">
        <w:rPr>
          <w:rFonts w:ascii="Arial" w:hAnsi="Arial" w:cs="Arial"/>
          <w:b/>
          <w:sz w:val="24"/>
          <w:szCs w:val="24"/>
        </w:rPr>
        <w:t>Del uso, goce, aprovechamiento o explotación de otros bienes de dominio público</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36.- Las personas físicas o jurídicas que tomen en arrendamiento o concesión toda clase de bienes propiedad del Municipio de dominio público, pagarán a éste las rentas respectivas, de conformidad con las siguientes: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TARIFAS</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Arrendamiento de locales en el interior de mercados de dominio público, por metr</w:t>
      </w:r>
      <w:r>
        <w:rPr>
          <w:rFonts w:ascii="Arial" w:hAnsi="Arial" w:cs="Arial"/>
          <w:sz w:val="24"/>
          <w:szCs w:val="24"/>
        </w:rPr>
        <w:t xml:space="preserve">o cuadrado, mensualmente,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$75.96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Arrendamiento de locales exteriores en mercados de dominio público, por metro </w:t>
      </w:r>
      <w:r>
        <w:rPr>
          <w:rFonts w:ascii="Arial" w:hAnsi="Arial" w:cs="Arial"/>
          <w:sz w:val="24"/>
          <w:szCs w:val="24"/>
        </w:rPr>
        <w:t xml:space="preserve">cuadrado mensualmente,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$113.21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Concesión de kioscos en plazas y jardines, por metro cuadrado, mensualmente,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$52.58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IV. Arrendamiento o concesión de excusados y baños públicos en bienes de dominio público, por metro cuadrado, mensualmente, de: </w:t>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$57.70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Arrendamiento de inmuebles de dominio público para anuncios eventuales, por met</w:t>
      </w:r>
      <w:r>
        <w:rPr>
          <w:rFonts w:ascii="Arial" w:hAnsi="Arial" w:cs="Arial"/>
          <w:sz w:val="24"/>
          <w:szCs w:val="24"/>
        </w:rPr>
        <w:t xml:space="preserve">ro cuadrado, diariamente, de: </w:t>
      </w:r>
      <w:r>
        <w:rPr>
          <w:rFonts w:ascii="Arial" w:hAnsi="Arial" w:cs="Arial"/>
          <w:sz w:val="24"/>
          <w:szCs w:val="24"/>
        </w:rPr>
        <w:tab/>
      </w:r>
      <w:r>
        <w:rPr>
          <w:rFonts w:ascii="Arial" w:hAnsi="Arial" w:cs="Arial"/>
          <w:sz w:val="24"/>
          <w:szCs w:val="24"/>
        </w:rPr>
        <w:tab/>
        <w:t xml:space="preserve"> $5.11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Arrendamiento de inmuebles de dominio público para anuncios permanentes, por met</w:t>
      </w:r>
      <w:r>
        <w:rPr>
          <w:rFonts w:ascii="Arial" w:hAnsi="Arial" w:cs="Arial"/>
          <w:sz w:val="24"/>
          <w:szCs w:val="24"/>
        </w:rPr>
        <w:t xml:space="preserve">ro cuadrado, mensualmente, de: </w:t>
      </w:r>
      <w:r>
        <w:rPr>
          <w:rFonts w:ascii="Arial" w:hAnsi="Arial" w:cs="Arial"/>
          <w:sz w:val="24"/>
          <w:szCs w:val="24"/>
        </w:rPr>
        <w:tab/>
        <w:t xml:space="preserve">  $29.21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37.- El importe de las rentas o de los ingresos por las concesiones de otros bienes muebles o inmuebles, propiedad del Municipio de dominio público, no especificados en el artículo anterior, será fijado en los contratos respectivos, previo acuerdo del Ayuntamiento y en los términos del artículo 180 de la Ley de Hacienda Municipal del Estado de Jalisco.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38.- En los casos de traspaso de giros instalados en locales de propiedad municipal de dominio público, el Ayuntamiento se reserva la facultad de autorizar éstos, mediante acuerdo del Ayuntamiento, y fijar los derechos correspondientes de conformidad con lo dispuesto por el artículo 36 o rescindir los convenios que, en lo particular celebren los interesados.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39.- El gasto de luz y fuerza motriz de los locales arrendados de dominio público, será calculado de acuerdo con el consumo visible de cada uno, y se acumulará al importe del arrendamiento.</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Artículo 40.- Las personas que hagan uso de bienes inmuebles propiedad del Municipio de dominio público, pagarán los derechos correspondientes conforme a la siguiente:</w:t>
      </w: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ind w:left="5664" w:firstLine="708"/>
        <w:rPr>
          <w:rFonts w:ascii="Arial" w:hAnsi="Arial" w:cs="Arial"/>
          <w:sz w:val="24"/>
          <w:szCs w:val="24"/>
        </w:rPr>
      </w:pPr>
      <w:r>
        <w:rPr>
          <w:rFonts w:ascii="Arial" w:hAnsi="Arial" w:cs="Arial"/>
          <w:sz w:val="24"/>
          <w:szCs w:val="24"/>
        </w:rPr>
        <w:t>TARIFA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Excusados y baños públicos en bienes de dominio público, cada vez que se usen, excepto por niños menores de 12 años, los cuales quedan exentos: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Uso de corrales de dominio público para guardar animales que transiten en la vía pública sin vigilancia de sus dueños, diariamente, por cada uno,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$66.46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Los ingresos que se obtengan de los parques y unidades deportivas municipales de dominio público;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41.- El importe de los derechos de otros bienes muebles e inmuebles del Municipio de dominio público no especificado en el artículo anterior, será fijado en los contratos respectivos, previa aprobación por el Ayuntamiento en los términos de los reglamentos municipales respectivos.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CUARTA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los cementerios de dominio público</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Artículo 42.- Las personas físicas o jurídicas que soliciten en uso a perpetuidad o uso temporal lotes en los cementerios de dominio público para la construcción de fosas, pagarán los derechos correspondientes de acuerdo a las siguientes: </w:t>
      </w:r>
    </w:p>
    <w:p w:rsidR="00DA389F"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w:t>
      </w:r>
      <w:r w:rsidRPr="006B7EB5">
        <w:rPr>
          <w:rFonts w:ascii="Arial" w:hAnsi="Arial" w:cs="Arial"/>
          <w:sz w:val="24"/>
          <w:szCs w:val="24"/>
        </w:rPr>
        <w:t>TARIFAS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I. Lotes en uso a perpetuidad, por metro cuadrado: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primera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$194.28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segunda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$167.99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tercera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$97.14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Las personas físicas o jurídicas, que estén en uso a perpetuidad de fosas en los cementerios municipales, que decidan traspasar el mismo, pagarán la cuota equivalentes que, por uso temporal, correspondan como se señala en la fracción II, de este artículo.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Lotes en uso temporal por el término de cinco años, por metro cuadrado: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primera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$79.61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segunda clase: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$52.58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tercera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$28.48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Para el mantenimiento de cada fosa en uso a perpetuidad o uso temporal se pagará anualmente por metro cuadrado de fosa: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primera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segunda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$35.78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tercera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Para los efectos de la aplicación de esta sección, las dimensiones de las fosas en los cementerios de dominio público, serán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Las fosas para adultos tendrán un mínimo de 2.50 metros de largo por 1 metro de ancho; y</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Las fosas para infantes, tendrán un mínimo de 1.20 metros de largo por 1 metro de ancho.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SEGUNDO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Derechos por prestación de servicios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PRIMERA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las licencias de giros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43.- Quienes pretendan obtener o refrendar licencias, permisos o autorizaciones para el funcionamiento de establecimientos o locales, cuyos giros sean la venta de bebidas alcohólicas o la prestación de servicios que incluyan el expendio de dichas bebidas, siempre que se efectúen total o parcialmente con el público en general, pagarán previamente los derechos, conforme a la siguiente: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Cabarets, centros nocturnos, discotecas, salones de baile y video bares,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$2,492.12</w:t>
      </w:r>
      <w:r w:rsidRPr="006B7EB5">
        <w:rPr>
          <w:rFonts w:ascii="Arial" w:hAnsi="Arial" w:cs="Arial"/>
          <w:sz w:val="24"/>
          <w:szCs w:val="24"/>
        </w:rPr>
        <w:t xml:space="preserve"> </w:t>
      </w:r>
      <w:r>
        <w:rPr>
          <w:rFonts w:ascii="Arial" w:hAnsi="Arial" w:cs="Arial"/>
          <w:sz w:val="24"/>
          <w:szCs w:val="24"/>
        </w:rPr>
        <w:t xml:space="preserve">a $3,838.25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Bares anexos a hoteles, moteles, restaurantes, centros recreativos, clubes, casinos, asociaciones civiles, deportivas, y demás establecimientos similares,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$1,868.36</w:t>
      </w:r>
      <w:r w:rsidRPr="006B7EB5">
        <w:rPr>
          <w:rFonts w:ascii="Arial" w:hAnsi="Arial" w:cs="Arial"/>
          <w:sz w:val="24"/>
          <w:szCs w:val="24"/>
        </w:rPr>
        <w:t xml:space="preserve"> </w:t>
      </w:r>
      <w:r>
        <w:rPr>
          <w:rFonts w:ascii="Arial" w:hAnsi="Arial" w:cs="Arial"/>
          <w:sz w:val="24"/>
          <w:szCs w:val="24"/>
        </w:rPr>
        <w:t xml:space="preserve">a $2,402.28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Cantinas o bares, pulquerías, </w:t>
      </w:r>
      <w:proofErr w:type="spellStart"/>
      <w:r w:rsidRPr="006B7EB5">
        <w:rPr>
          <w:rFonts w:ascii="Arial" w:hAnsi="Arial" w:cs="Arial"/>
          <w:sz w:val="24"/>
          <w:szCs w:val="24"/>
        </w:rPr>
        <w:t>tepacherías</w:t>
      </w:r>
      <w:proofErr w:type="spellEnd"/>
      <w:r w:rsidRPr="006B7EB5">
        <w:rPr>
          <w:rFonts w:ascii="Arial" w:hAnsi="Arial" w:cs="Arial"/>
          <w:sz w:val="24"/>
          <w:szCs w:val="24"/>
        </w:rPr>
        <w:t xml:space="preserve">, cervecerías o centros </w:t>
      </w:r>
      <w:proofErr w:type="spellStart"/>
      <w:r w:rsidRPr="006B7EB5">
        <w:rPr>
          <w:rFonts w:ascii="Arial" w:hAnsi="Arial" w:cs="Arial"/>
          <w:sz w:val="24"/>
          <w:szCs w:val="24"/>
        </w:rPr>
        <w:t>botaneros</w:t>
      </w:r>
      <w:proofErr w:type="spellEnd"/>
      <w:r w:rsidRPr="006B7EB5">
        <w:rPr>
          <w:rFonts w:ascii="Arial" w:hAnsi="Arial" w:cs="Arial"/>
          <w:sz w:val="24"/>
          <w:szCs w:val="24"/>
        </w:rPr>
        <w:t>,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$1,760.26</w:t>
      </w:r>
      <w:r w:rsidRPr="006B7EB5">
        <w:rPr>
          <w:rFonts w:ascii="Arial" w:hAnsi="Arial" w:cs="Arial"/>
          <w:sz w:val="24"/>
          <w:szCs w:val="24"/>
        </w:rPr>
        <w:t xml:space="preserve"> </w:t>
      </w:r>
      <w:r>
        <w:rPr>
          <w:rFonts w:ascii="Arial" w:hAnsi="Arial" w:cs="Arial"/>
          <w:sz w:val="24"/>
          <w:szCs w:val="24"/>
        </w:rPr>
        <w:t xml:space="preserve">a $2,638.20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Expendios de vinos generosos, exclusivamente, en envase cerrado, de: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$1,474.67</w:t>
      </w:r>
      <w:r w:rsidRPr="006B7EB5">
        <w:rPr>
          <w:rFonts w:ascii="Arial" w:hAnsi="Arial" w:cs="Arial"/>
          <w:sz w:val="24"/>
          <w:szCs w:val="24"/>
        </w:rPr>
        <w:t xml:space="preserve"> </w:t>
      </w:r>
      <w:r>
        <w:rPr>
          <w:rFonts w:ascii="Arial" w:hAnsi="Arial" w:cs="Arial"/>
          <w:sz w:val="24"/>
          <w:szCs w:val="24"/>
        </w:rPr>
        <w:t xml:space="preserve">a $1,931.90 </w:t>
      </w:r>
      <w:r>
        <w:rPr>
          <w:rFonts w:ascii="Arial" w:hAnsi="Arial" w:cs="Arial"/>
          <w:sz w:val="24"/>
          <w:szCs w:val="24"/>
        </w:rPr>
        <w:tab/>
      </w: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V. Venta de cerveza en envase abierto, anexa a giros en que se consuman alimentos preparados, como fondas, cafés, cenadurías, taquerías, loncherías, coctelerías y giros de venta de antojitos, de: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ind w:left="4248" w:firstLine="708"/>
        <w:rPr>
          <w:rFonts w:ascii="Arial" w:hAnsi="Arial" w:cs="Arial"/>
          <w:sz w:val="24"/>
          <w:szCs w:val="24"/>
        </w:rPr>
      </w:pPr>
      <w:r>
        <w:rPr>
          <w:rFonts w:ascii="Arial" w:hAnsi="Arial" w:cs="Arial"/>
          <w:sz w:val="24"/>
          <w:szCs w:val="24"/>
        </w:rPr>
        <w:lastRenderedPageBreak/>
        <w:t xml:space="preserve">         $983.84</w:t>
      </w:r>
      <w:r w:rsidRPr="006B7EB5">
        <w:rPr>
          <w:rFonts w:ascii="Arial" w:hAnsi="Arial" w:cs="Arial"/>
          <w:sz w:val="24"/>
          <w:szCs w:val="24"/>
        </w:rPr>
        <w:t xml:space="preserve"> </w:t>
      </w:r>
      <w:r>
        <w:rPr>
          <w:rFonts w:ascii="Arial" w:hAnsi="Arial" w:cs="Arial"/>
          <w:sz w:val="24"/>
          <w:szCs w:val="24"/>
        </w:rPr>
        <w:t xml:space="preserve">a $2,104.28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Venta de cerveza en envase cerrado, anexa a tendejones, misceláneas y negocios similares,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$895.47</w:t>
      </w:r>
      <w:r w:rsidRPr="006B7EB5">
        <w:rPr>
          <w:rFonts w:ascii="Arial" w:hAnsi="Arial" w:cs="Arial"/>
          <w:sz w:val="24"/>
          <w:szCs w:val="24"/>
        </w:rPr>
        <w:t xml:space="preserve"> </w:t>
      </w:r>
      <w:r>
        <w:rPr>
          <w:rFonts w:ascii="Arial" w:hAnsi="Arial" w:cs="Arial"/>
          <w:sz w:val="24"/>
          <w:szCs w:val="24"/>
        </w:rPr>
        <w:t xml:space="preserve">a $2,104.28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 Expendio de bebidas alcohólicas en envase cerrado, de: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$1,466.64</w:t>
      </w:r>
      <w:r w:rsidRPr="006B7EB5">
        <w:rPr>
          <w:rFonts w:ascii="Arial" w:hAnsi="Arial" w:cs="Arial"/>
          <w:sz w:val="24"/>
          <w:szCs w:val="24"/>
        </w:rPr>
        <w:t xml:space="preserve"> </w:t>
      </w:r>
      <w:r>
        <w:rPr>
          <w:rFonts w:ascii="Arial" w:hAnsi="Arial" w:cs="Arial"/>
          <w:sz w:val="24"/>
          <w:szCs w:val="24"/>
        </w:rPr>
        <w:t xml:space="preserve">a $1,931.90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Las sucursales o agencias de los giros que se señalan en esta fracción, pagarán los derechos correspondientes al mismo.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VIII. Expendios de alcohol al menudeo, anexos a tendejones, misceláneas,  abarrotes, minisúper y supermercados, expendio de bebidas alcohólicas en envase cerrado,</w:t>
      </w:r>
      <w:r>
        <w:rPr>
          <w:rFonts w:ascii="Arial" w:hAnsi="Arial" w:cs="Arial"/>
          <w:sz w:val="24"/>
          <w:szCs w:val="24"/>
        </w:rPr>
        <w:t xml:space="preserve"> y otros giros similares, de: </w:t>
      </w:r>
      <w:r>
        <w:rPr>
          <w:rFonts w:ascii="Arial" w:hAnsi="Arial" w:cs="Arial"/>
          <w:sz w:val="24"/>
          <w:szCs w:val="24"/>
        </w:rPr>
        <w:tab/>
        <w:t xml:space="preserve">             $525.88</w:t>
      </w:r>
      <w:r w:rsidRPr="006B7EB5">
        <w:rPr>
          <w:rFonts w:ascii="Arial" w:hAnsi="Arial" w:cs="Arial"/>
          <w:sz w:val="24"/>
          <w:szCs w:val="24"/>
        </w:rPr>
        <w:t xml:space="preserve"> </w:t>
      </w:r>
      <w:r>
        <w:rPr>
          <w:rFonts w:ascii="Arial" w:hAnsi="Arial" w:cs="Arial"/>
          <w:sz w:val="24"/>
          <w:szCs w:val="24"/>
        </w:rPr>
        <w:t xml:space="preserve">a $1439.61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IX. Agencias, depósitos, distribuidores y expendios de cerveza, por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$1,230.72</w:t>
      </w:r>
      <w:r w:rsidRPr="006B7EB5">
        <w:rPr>
          <w:rFonts w:ascii="Arial" w:hAnsi="Arial" w:cs="Arial"/>
          <w:sz w:val="24"/>
          <w:szCs w:val="24"/>
        </w:rPr>
        <w:t xml:space="preserve"> </w:t>
      </w:r>
      <w:r>
        <w:rPr>
          <w:rFonts w:ascii="Arial" w:hAnsi="Arial" w:cs="Arial"/>
          <w:sz w:val="24"/>
          <w:szCs w:val="24"/>
        </w:rPr>
        <w:t xml:space="preserve">a $2,214.57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  Venta de bebidas alcohólicas en los establecimientos donde se produzca o elabore, destile, amplié, mezcle o transforme alcohol, tequila, mezcal, cerveza y otr</w:t>
      </w:r>
      <w:r>
        <w:rPr>
          <w:rFonts w:ascii="Arial" w:hAnsi="Arial" w:cs="Arial"/>
          <w:sz w:val="24"/>
          <w:szCs w:val="24"/>
        </w:rPr>
        <w:t xml:space="preserve">as bebidas alcohólicas, de:                $3,170.66 a  $5,275.67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XI. Venta de bebidas alcohólicas en salones de fiesta, centros sociales o de convenciones que se utilizan para eventos sociales, estadios, arenas de box y lucha libre, plazas de toros, lienzos charros, teatros, carpas, cines, cinematógrafos y en los lugares donde se desarrollan exposiciones, espectáculos deportivos, artísticos, culturales y ferias estatales, regionales o municipa</w:t>
      </w:r>
      <w:r>
        <w:rPr>
          <w:rFonts w:ascii="Arial" w:hAnsi="Arial" w:cs="Arial"/>
          <w:sz w:val="24"/>
          <w:szCs w:val="24"/>
        </w:rPr>
        <w:t xml:space="preserve">les,  por cada evento: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$1,392.87</w:t>
      </w:r>
      <w:r w:rsidRPr="006B7EB5">
        <w:rPr>
          <w:rFonts w:ascii="Arial" w:hAnsi="Arial" w:cs="Arial"/>
          <w:sz w:val="24"/>
          <w:szCs w:val="24"/>
        </w:rPr>
        <w:t xml:space="preserve"> </w:t>
      </w:r>
      <w:r>
        <w:rPr>
          <w:rFonts w:ascii="Arial" w:hAnsi="Arial" w:cs="Arial"/>
          <w:sz w:val="24"/>
          <w:szCs w:val="24"/>
        </w:rPr>
        <w:t xml:space="preserve">a $2,522.80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  Los giros a que se refieren las fracciones anteriores de este artículo, que requieran funcionar en horario extraordinario, pagarán diariamente, sobre el valor de la licencia: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la primera hora: </w:t>
      </w:r>
      <w:r w:rsidRPr="006B7EB5">
        <w:rPr>
          <w:rFonts w:ascii="Arial" w:hAnsi="Arial" w:cs="Arial"/>
          <w:sz w:val="24"/>
          <w:szCs w:val="24"/>
        </w:rPr>
        <w:tab/>
      </w:r>
      <w:r w:rsidRPr="006B7EB5">
        <w:rPr>
          <w:rFonts w:ascii="Arial" w:hAnsi="Arial" w:cs="Arial"/>
          <w:sz w:val="24"/>
          <w:szCs w:val="24"/>
        </w:rPr>
        <w:tab/>
        <w:t>10.00%</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Por la segunda hora: </w:t>
      </w:r>
      <w:r w:rsidRPr="006B7EB5">
        <w:rPr>
          <w:rFonts w:ascii="Arial" w:hAnsi="Arial" w:cs="Arial"/>
          <w:sz w:val="24"/>
          <w:szCs w:val="24"/>
        </w:rPr>
        <w:tab/>
      </w:r>
      <w:r w:rsidRPr="006B7EB5">
        <w:rPr>
          <w:rFonts w:ascii="Arial" w:hAnsi="Arial" w:cs="Arial"/>
          <w:sz w:val="24"/>
          <w:szCs w:val="24"/>
        </w:rPr>
        <w:tab/>
        <w:t>12.00%</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c) Por la tercera hora:</w:t>
      </w:r>
      <w:r w:rsidRPr="006B7EB5">
        <w:rPr>
          <w:rFonts w:ascii="Arial" w:hAnsi="Arial" w:cs="Arial"/>
          <w:sz w:val="24"/>
          <w:szCs w:val="24"/>
        </w:rPr>
        <w:tab/>
      </w:r>
      <w:r w:rsidRPr="006B7EB5">
        <w:rPr>
          <w:rFonts w:ascii="Arial" w:hAnsi="Arial" w:cs="Arial"/>
          <w:sz w:val="24"/>
          <w:szCs w:val="24"/>
        </w:rPr>
        <w:tab/>
        <w:t>15.00%</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SEGUNDA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Licencias y permisos para anuncios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44.- Las personas físicas o jurídicas a quienes se anuncie o cuyos derechos o actividades sean anunciados en forma permanente o eventual, deberán obtener previamente licencia o permiso respectivo y pagar los derechos por la autorización o refrendo correspondiente, conforme a la siguiente: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En forma permanente: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Anuncios adosados o pintados, no luminosos, en bienes muebles o  inmuebles, por cada m</w:t>
      </w:r>
      <w:r>
        <w:rPr>
          <w:rFonts w:ascii="Arial" w:hAnsi="Arial" w:cs="Arial"/>
          <w:sz w:val="24"/>
          <w:szCs w:val="24"/>
        </w:rPr>
        <w:t xml:space="preserve">etro cuadrado o fracción, de: </w:t>
      </w:r>
      <w:r>
        <w:rPr>
          <w:rFonts w:ascii="Arial" w:hAnsi="Arial" w:cs="Arial"/>
          <w:sz w:val="24"/>
          <w:szCs w:val="24"/>
        </w:rPr>
        <w:tab/>
      </w:r>
      <w:r>
        <w:rPr>
          <w:rFonts w:ascii="Arial" w:hAnsi="Arial" w:cs="Arial"/>
          <w:sz w:val="24"/>
          <w:szCs w:val="24"/>
        </w:rPr>
        <w:tab/>
        <w:t xml:space="preserve">      $40.17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Anuncios salientes, luminosos, iluminados o sostenidos a muros, por  metro cuadrado o fracción,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$110.29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Anuncios estructurales en azoteas o pisos, por metro cuadrado o fracción, anualmente,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$276.09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Anuncios en casetas telefónicas diferentes a la actividad propia de la caseta, por cada anuncio: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$518.58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En forma eventual, por un plazo no mayor de treinta días:</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a) Anuncios adosados o pintados no luminosos, en bienes muebles o inmuebles, por cada metro cuadrado o fracción, diariamente, de: </w:t>
      </w:r>
      <w:r w:rsidRPr="006B7EB5">
        <w:rPr>
          <w:rFonts w:ascii="Arial" w:hAnsi="Arial" w:cs="Arial"/>
          <w:sz w:val="24"/>
          <w:szCs w:val="24"/>
        </w:rPr>
        <w:tab/>
      </w:r>
      <w:r w:rsidRPr="006B7EB5">
        <w:rPr>
          <w:rFonts w:ascii="Arial" w:hAnsi="Arial" w:cs="Arial"/>
          <w:sz w:val="24"/>
          <w:szCs w:val="24"/>
        </w:rPr>
        <w:tab/>
        <w:t xml:space="preserve"> </w:t>
      </w:r>
    </w:p>
    <w:p w:rsidR="00DA389F" w:rsidRPr="006B7EB5" w:rsidRDefault="00DA389F" w:rsidP="00DA389F">
      <w:pPr>
        <w:spacing w:line="360" w:lineRule="auto"/>
        <w:ind w:left="6372"/>
        <w:rPr>
          <w:rFonts w:ascii="Arial" w:hAnsi="Arial" w:cs="Arial"/>
          <w:sz w:val="24"/>
          <w:szCs w:val="24"/>
        </w:rPr>
      </w:pPr>
      <w:r>
        <w:rPr>
          <w:rFonts w:ascii="Arial" w:hAnsi="Arial" w:cs="Arial"/>
          <w:sz w:val="24"/>
          <w:szCs w:val="24"/>
        </w:rPr>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b) Anuncios salientes, luminosos, iluminados o sostenidos a muros, por metro cuadrado </w:t>
      </w:r>
      <w:r>
        <w:rPr>
          <w:rFonts w:ascii="Arial" w:hAnsi="Arial" w:cs="Arial"/>
          <w:sz w:val="24"/>
          <w:szCs w:val="24"/>
        </w:rPr>
        <w:t xml:space="preserve">o fracción, diariamente,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Anuncios estructurales en azoteas o pisos, por metro cuadrado o fracción, diariamente,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Son responsables solidarios del pago establecido en esta fracción los propietarios de los giros, así como las empresas de publicidad;</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Tableros para fijar propaganda impresa, diariamente, por cada uno, 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Promociones mediante cartulinas, volantes, mantas, carteles y otros similares, por cada</w:t>
      </w:r>
      <w:r>
        <w:rPr>
          <w:rFonts w:ascii="Arial" w:hAnsi="Arial" w:cs="Arial"/>
          <w:sz w:val="24"/>
          <w:szCs w:val="24"/>
        </w:rPr>
        <w:t xml:space="preserve"> promoción, 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$138.77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TERCERA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Licencias de construcción, reconstrucción, reparación o demolición de obras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45.- Las personas físicas o jurídicas que pretendan llevar a cabo la construcción, reconstrucción, reparación o demolición de obras, deberán obtener, previamente, la licencia y pagar los derechos conforme a la siguiente: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Licencia de construcción, incluyendo inspección, por metro cuadrado de construcción de acuerdo con la clasificación siguiente: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Densidad alta: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Unifamiliar: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$2.92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Unifamiliar: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$4.38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Unifamiliar: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$4.38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Unifamiliar: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w:t>
      </w:r>
      <w:r>
        <w:rPr>
          <w:rFonts w:ascii="Arial" w:hAnsi="Arial" w:cs="Arial"/>
          <w:sz w:val="24"/>
          <w:szCs w:val="24"/>
        </w:rPr>
        <w:t xml:space="preserve">ria y comercio: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Uso turístico: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Campestre: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$4.38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Hotelero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Hotelero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$4.38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Hotelero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Hotelero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Ligera, riesgo bajo: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$3.65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$5.11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Pesada, riesgo 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Institucional: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Espacios verdes: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Especial: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Infraestructura: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Licencias para construcción de albercas, por metro cúbico de capacidad:</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$13.87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Construcciones de canchas y áreas deportivas, por metro cuadrado,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Estacionamientos para usos no habitacionales, por metro cuadrado: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Descubierto: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Cubierto: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Licencia para demolición, sobre el importe de los derechos que se determinen de acuerdo a la fracción I, de este artículo, el: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Licencia para acotamiento de predios baldíos, bardado en colindancia y demolición de muros, por metro lineal: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a)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VII. Licencia para instalar tapiales provisionales en la vía pública, por metro lineal: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$17.52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VIII. Licencias para remodelación, sobre el importe de los derechos determinados de acuerdo a la fr</w:t>
      </w:r>
      <w:r>
        <w:rPr>
          <w:rFonts w:ascii="Arial" w:hAnsi="Arial" w:cs="Arial"/>
          <w:sz w:val="24"/>
          <w:szCs w:val="24"/>
        </w:rPr>
        <w:t>acción I, de este artículo, el:</w:t>
      </w:r>
      <w:r w:rsidRPr="006B7EB5">
        <w:rPr>
          <w:rFonts w:ascii="Arial" w:hAnsi="Arial" w:cs="Arial"/>
          <w:sz w:val="24"/>
          <w:szCs w:val="24"/>
        </w:rPr>
        <w:tab/>
        <w:t>20.00%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IX. Licencias para reconstrucción, reestructuración o adaptación, sobre el importe de los derechos determinados de acuerdo con la fracción I, de este artículo en los términos previstos por el Ordenamiento de Construcción.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Reparación menor, el: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15.00%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Reparación mayor o adaptación, el: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30.00%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 Licencias para ocupación en la vía pública con materiales de  construcción, las cuales se otorgarán siempre y cuando se ajusten a los  lineamientos señalados por la dependencia competente de obras públicas y desarrollo urbano </w:t>
      </w:r>
      <w:r>
        <w:rPr>
          <w:rFonts w:ascii="Arial" w:hAnsi="Arial" w:cs="Arial"/>
          <w:sz w:val="24"/>
          <w:szCs w:val="24"/>
        </w:rPr>
        <w:t xml:space="preserve">por metro cuadrado, por día: </w:t>
      </w:r>
      <w:r>
        <w:rPr>
          <w:rFonts w:ascii="Arial" w:hAnsi="Arial" w:cs="Arial"/>
          <w:sz w:val="24"/>
          <w:szCs w:val="24"/>
        </w:rPr>
        <w:tab/>
      </w:r>
      <w:r>
        <w:rPr>
          <w:rFonts w:ascii="Arial" w:hAnsi="Arial" w:cs="Arial"/>
          <w:sz w:val="24"/>
          <w:szCs w:val="24"/>
        </w:rPr>
        <w:tab/>
        <w:t xml:space="preserve">        $4.38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 Licencias para movimientos de tierra, previo dictamen de la dependencia competente de obras públicas y desarrollo urbano, por metro cúbico: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XII. Licencias provisionales de construcción, sobre el importe de los derechos que se determinen de acuerdo a la fracción I de este artículo, el 15% adicional, y únicamente en aquellos casos que a juicio de la dependencia municipal de obras públicas pueda otorgarse.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XIII. Licencias similares no previstos en este artículo, por metro cuadrado o fracción,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$11.68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CUARTA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Regularización de los registros de obra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46.- En apoyo del artículo 115, fracción V, de la Constitución Política de los Estados Unidos Mexicanos, las regularizaciones de predios se llevarán a cabo mediante la aplicación de las disposiciones contenidas en el Código Urbano para el Estado de Jalisco; hecho lo anterior, se autorizarán las licencias de construcciones que al efecto se soliciten.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La indebida autorización de licencias para inmuebles no urbanizados, de ninguna manera implicará la regularización de los mismos.</w:t>
      </w:r>
    </w:p>
    <w:p w:rsidR="00DA389F"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QUINTA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Alineamientos, Designación de Número Oficial e Inspección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47.- Los contribuyentes a que se refiere el artículo 45 de esta Ley, pagarán además, derechos por concepto de alineamiento, designación de número oficial e inspección. En el caso de alineamiento de propiedades en esquina o con varios frentes en vías públicas establecidas o por establecerse cubrirán derechos por toda su longitud y se pagará la siguiente: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I. Alineamiento, por metro lineal según el tipo de construcción: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Inmuebles de uso no habitacional: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$2.19</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industria y comercio: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Uso turístico: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Campestre: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Hotelero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$15.33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Hotelero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Hotelero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$17.52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Hotelero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Ligera, riesgo bajo: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$11.68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Pesada, riesgo 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Institucional: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Espacios verdes: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Especial: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Infraestructura: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Designación de número oficial según el tipo de construcción: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$8.03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Comercios y servicios: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$13.14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$284.85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industria y comercio: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Uso turístico: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Campestre: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$29.94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Hotelero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$32.12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Hotelero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$33.59</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Hotelero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$33.59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w:t>
      </w:r>
      <w:r>
        <w:rPr>
          <w:rFonts w:ascii="Arial" w:hAnsi="Arial" w:cs="Arial"/>
          <w:sz w:val="24"/>
          <w:szCs w:val="24"/>
        </w:rPr>
        <w:t xml:space="preserve"> Hotelero densidad mínima: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Industria: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lastRenderedPageBreak/>
        <w:t xml:space="preserve">a) Ligera, riesgo bajo: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$26.29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$28.48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Pesada, riesgo 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$29.94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Equipamiento y otros: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Institucional: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Espacios verdes: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Especial: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Infraestructura: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Inspecciones, a solicitud del interesado, sobre el valor que se determine según la tabla de valores de la fracción I, del artículo 45 de esta Ley, aplicado a construcciones, de acuerdo con su clasificación y tipo, para verificación de valores sobre inmuebles, el: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10.00%</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Servicios similares no previstos en este artículo, por metro cuadrado,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$39.44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48.- Por las obras destinadas a casa habitación para uso del propi</w:t>
      </w:r>
      <w:r>
        <w:rPr>
          <w:rFonts w:ascii="Arial" w:hAnsi="Arial" w:cs="Arial"/>
          <w:sz w:val="24"/>
          <w:szCs w:val="24"/>
        </w:rPr>
        <w:t>etario que no excedan de $1,826</w:t>
      </w:r>
      <w:r w:rsidRPr="006B7EB5">
        <w:rPr>
          <w:rFonts w:ascii="Arial" w:hAnsi="Arial" w:cs="Arial"/>
          <w:sz w:val="24"/>
          <w:szCs w:val="24"/>
        </w:rPr>
        <w:t xml:space="preserve">, se pagará el 2% sobre los derechos de licencias y permisos correspondientes, incluyendo alineamiento y número oficial.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Para tener derecho al beneficio señalado en el párrafo anterior, será necesario la presentación del certificado catastral en donde conste que el interesado es propietario de un solo inmueble en este Municipio.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Para tales efectos se requerirá peritaje de la dependencia competente de obras públicas y desarrollo urbano, el cual será gratuito siempre y cuando no se rebase la cantidad señalada.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Quedan comprendidos en este beneficio los supuestos a que se refiere el artículo 147 de la Ley de Hacienda Municipal del Estado de Jalisco.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Los términos de vigencia de las licencias y permisos a que se refiere el artículo 45, serán hasta por 24 meses; transcurrido este término, el solicitante pagará el 10 % del costo de su licencia o permiso por cada bimestre de prorroga; no será necesario el pago de éste cuando se haya dado aviso de suspensión de la obra.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SEXTA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Licencias de cambio de régimen de propiedad y urbanización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49.- Las personas físicas o jurídicas que pretendan cambiar el régimen de propiedad individual a condominio, o dividir o transformar terrenos en lotes mediante la realización de obras de urbanización deberán obtener la licencia correspondiente y pagar los der</w:t>
      </w:r>
      <w:r>
        <w:rPr>
          <w:rFonts w:ascii="Arial" w:hAnsi="Arial" w:cs="Arial"/>
          <w:sz w:val="24"/>
          <w:szCs w:val="24"/>
        </w:rPr>
        <w:t xml:space="preserve">echos conforme a la siguiente: </w:t>
      </w:r>
    </w:p>
    <w:p w:rsidR="00DA389F" w:rsidRPr="006B7EB5" w:rsidRDefault="00DA389F" w:rsidP="00DA389F">
      <w:pPr>
        <w:spacing w:line="360" w:lineRule="auto"/>
        <w:ind w:left="5664" w:firstLine="708"/>
        <w:rPr>
          <w:rFonts w:ascii="Arial" w:hAnsi="Arial" w:cs="Arial"/>
          <w:sz w:val="24"/>
          <w:szCs w:val="24"/>
        </w:rPr>
      </w:pPr>
      <w:r w:rsidRPr="006B7EB5">
        <w:rPr>
          <w:rFonts w:ascii="Arial" w:hAnsi="Arial" w:cs="Arial"/>
          <w:sz w:val="24"/>
          <w:szCs w:val="24"/>
        </w:rPr>
        <w:t>TARIFA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solicitud de autorizaciones: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Del proyecto definitivo de urbanización, por hectár</w:t>
      </w:r>
      <w:r>
        <w:rPr>
          <w:rFonts w:ascii="Arial" w:hAnsi="Arial" w:cs="Arial"/>
          <w:sz w:val="24"/>
          <w:szCs w:val="24"/>
        </w:rPr>
        <w:t xml:space="preserve">ea: </w:t>
      </w:r>
      <w:r>
        <w:rPr>
          <w:rFonts w:ascii="Arial" w:hAnsi="Arial" w:cs="Arial"/>
          <w:sz w:val="24"/>
          <w:szCs w:val="24"/>
        </w:rPr>
        <w:tab/>
        <w:t xml:space="preserve">            $924.68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Por la autorización para urbanizar sobre la superficie total del predio a urbanizar, por metro cuadrado, según su categoría: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$2.19</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$2.92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$3.65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$2.19</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Servicios </w:t>
      </w:r>
      <w:r>
        <w:rPr>
          <w:rFonts w:ascii="Arial" w:hAnsi="Arial" w:cs="Arial"/>
          <w:sz w:val="24"/>
          <w:szCs w:val="24"/>
        </w:rPr>
        <w:t xml:space="preserve">a la industria y comercio: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Por la aprobación de cada lote o predio según su categoría: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$23.37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$23.37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$24.83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$25.66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Servicios </w:t>
      </w:r>
      <w:r>
        <w:rPr>
          <w:rFonts w:ascii="Arial" w:hAnsi="Arial" w:cs="Arial"/>
          <w:sz w:val="24"/>
          <w:szCs w:val="24"/>
        </w:rPr>
        <w:t xml:space="preserve">a la industria y comercio: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$23.37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Para la regularización de medidas y linderos, según su categoría: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$23.37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$24.83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Servicios a la industria y comercio: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Por los permisos para constituir en régimen de propiedad o condominio, para cada unidad o departamento: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$57.70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$37.98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$84.72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$82.53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$133.66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$129.28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$159.95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$135.12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$95.68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$154.84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Servicios a la industria y comercio: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$48.20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2.- Industria: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Ligera, riesgo bajo: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$43.09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$94.22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Pesada, riesgo 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$162.14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$86.18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Aprobación de subdivisión o </w:t>
      </w:r>
      <w:proofErr w:type="spellStart"/>
      <w:r w:rsidRPr="006B7EB5">
        <w:rPr>
          <w:rFonts w:ascii="Arial" w:hAnsi="Arial" w:cs="Arial"/>
          <w:sz w:val="24"/>
          <w:szCs w:val="24"/>
        </w:rPr>
        <w:t>relotificación</w:t>
      </w:r>
      <w:proofErr w:type="spellEnd"/>
      <w:r w:rsidRPr="006B7EB5">
        <w:rPr>
          <w:rFonts w:ascii="Arial" w:hAnsi="Arial" w:cs="Arial"/>
          <w:sz w:val="24"/>
          <w:szCs w:val="24"/>
        </w:rPr>
        <w:t xml:space="preserve"> según su categoría, por cada lote resultante: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$86.91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$115.40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$131.47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$115.40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$115.40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$111.75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w:t>
      </w:r>
      <w:r>
        <w:rPr>
          <w:rFonts w:ascii="Arial" w:hAnsi="Arial" w:cs="Arial"/>
          <w:sz w:val="24"/>
          <w:szCs w:val="24"/>
        </w:rPr>
        <w:t>ria y comercio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$115.40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$113.94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$113.94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 Aprobación para la subdivisión de unidades departamentales, sujetas al régimen de condominio según el tipo de construcción, por cada unidad resultante: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$154.84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$89.83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$251.98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$206.70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$448.46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$401.72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Plurif</w:t>
      </w:r>
      <w:r>
        <w:rPr>
          <w:rFonts w:ascii="Arial" w:hAnsi="Arial" w:cs="Arial"/>
          <w:sz w:val="24"/>
          <w:szCs w:val="24"/>
        </w:rPr>
        <w:t xml:space="preserve">amiliar horizontal: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$787.37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$502.51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$260.75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$504.70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$848.72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industria y co</w:t>
      </w:r>
      <w:r>
        <w:rPr>
          <w:rFonts w:ascii="Arial" w:hAnsi="Arial" w:cs="Arial"/>
          <w:sz w:val="24"/>
          <w:szCs w:val="24"/>
        </w:rPr>
        <w:t xml:space="preserve">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$264.40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Ligera, riesgo bajo: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$378.34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$406.83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Pesada, riesgo alto:</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$528.07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$298.73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VIII. Por la supervisión técnica para vigilar el debido cumplimiento de las normas de calidad y especificaciones del proyecto definitivo de urbanización, y sobre el </w:t>
      </w:r>
      <w:r w:rsidRPr="006B7EB5">
        <w:rPr>
          <w:rFonts w:ascii="Arial" w:hAnsi="Arial" w:cs="Arial"/>
          <w:sz w:val="24"/>
          <w:szCs w:val="24"/>
        </w:rPr>
        <w:lastRenderedPageBreak/>
        <w:t xml:space="preserve">monto autorizado excepto las de objetivo social, el: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1.50%</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IX. Por los permisos de subdivisión y </w:t>
      </w:r>
      <w:proofErr w:type="spellStart"/>
      <w:r w:rsidRPr="006B7EB5">
        <w:rPr>
          <w:rFonts w:ascii="Arial" w:hAnsi="Arial" w:cs="Arial"/>
          <w:sz w:val="24"/>
          <w:szCs w:val="24"/>
        </w:rPr>
        <w:t>relotificación</w:t>
      </w:r>
      <w:proofErr w:type="spellEnd"/>
      <w:r w:rsidRPr="006B7EB5">
        <w:rPr>
          <w:rFonts w:ascii="Arial" w:hAnsi="Arial" w:cs="Arial"/>
          <w:sz w:val="24"/>
          <w:szCs w:val="24"/>
        </w:rPr>
        <w:t xml:space="preserve"> de predios se autorizarán de conformidad con lo señalado en el capítulo VII del título noveno del Código Urbano para 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a) Por cada predio rústico con s</w:t>
      </w:r>
      <w:r>
        <w:rPr>
          <w:rFonts w:ascii="Arial" w:hAnsi="Arial" w:cs="Arial"/>
          <w:sz w:val="24"/>
          <w:szCs w:val="24"/>
        </w:rPr>
        <w:t>uperficie hasta de 10,000 m2:</w:t>
      </w:r>
    </w:p>
    <w:p w:rsidR="00DA389F" w:rsidRPr="006B7EB5" w:rsidRDefault="00DA389F" w:rsidP="00DA389F">
      <w:pPr>
        <w:spacing w:line="360" w:lineRule="auto"/>
        <w:ind w:left="6372"/>
        <w:rPr>
          <w:rFonts w:ascii="Arial" w:hAnsi="Arial" w:cs="Arial"/>
          <w:sz w:val="24"/>
          <w:szCs w:val="24"/>
        </w:rPr>
      </w:pPr>
      <w:r>
        <w:rPr>
          <w:rFonts w:ascii="Arial" w:hAnsi="Arial" w:cs="Arial"/>
          <w:sz w:val="24"/>
          <w:szCs w:val="24"/>
        </w:rPr>
        <w:t>$528.07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cada predio rústico con superficie mayor de 10,000 m2:</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$782.25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 Los términos de vigencia del permiso de urbanización serán hasta por 12 meses, y por cada bimestre adicional se pagará el 10% del permiso autorizado como refrendo del mismo. No será necesario el pago cuando se haya dado aviso de suspensión de obras, en cuyo caso se tomará en cuenta el tiempo no consumido.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 En las urbanizaciones promovidas por el poder público, los propietarios o titulares de derechos sobre terrenos resultantes cubrirán, por supervisión, el 1.5% sobre el monto de las obras que deban realizar, además de pagar los derechos por designación de lotes que señala esta Ley, como si se tratara de urbanización particular.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aportación que se convenga para servicios públicos municipales al regularizar los sobrantes, será independiente de las cargas que deban cubrirse como urbanizaciones de gestión privada.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XII. Por el peritaje, dictamen e inspección de la dependencia municipal de obras públicas de carácter extraordinario, con excepción de las urbanizaciones de objetivo s</w:t>
      </w:r>
      <w:r>
        <w:rPr>
          <w:rFonts w:ascii="Arial" w:hAnsi="Arial" w:cs="Arial"/>
          <w:sz w:val="24"/>
          <w:szCs w:val="24"/>
        </w:rPr>
        <w:t xml:space="preserve">ocial o de interés social, de: </w:t>
      </w:r>
      <w:r>
        <w:rPr>
          <w:rFonts w:ascii="Arial" w:hAnsi="Arial" w:cs="Arial"/>
          <w:sz w:val="24"/>
          <w:szCs w:val="24"/>
        </w:rPr>
        <w:tab/>
        <w:t xml:space="preserve"> $65.00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XIII. Los propietarios de predios </w:t>
      </w:r>
      <w:proofErr w:type="spellStart"/>
      <w:r w:rsidRPr="006B7EB5">
        <w:rPr>
          <w:rFonts w:ascii="Arial" w:hAnsi="Arial" w:cs="Arial"/>
          <w:sz w:val="24"/>
          <w:szCs w:val="24"/>
        </w:rPr>
        <w:t>intraurbanos</w:t>
      </w:r>
      <w:proofErr w:type="spellEnd"/>
      <w:r w:rsidRPr="006B7EB5">
        <w:rPr>
          <w:rFonts w:ascii="Arial" w:hAnsi="Arial" w:cs="Arial"/>
          <w:sz w:val="24"/>
          <w:szCs w:val="24"/>
        </w:rPr>
        <w:t xml:space="preserve"> o predios rústicos vecinos a una zona urbanizada, que cuenten con su plan parcial de desarrollo urbano, con superficie no mayor a diez mil metros cuadrados, conforme a lo dispuesto por el capítulo sexto, del título noveno y el artículo 266, del Código Urbano para el Estado de Jalisco, que aprovechen la infraestructura básica existente, pagarán los derechos por cada metro cuadrado, de acuerdo con las siguientes:</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En el caso de que el lote sea menor de 1,000 metros cuadrados: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d) Servicios a la industria y comercio: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Equipamiento y otros: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En el caso que el lote sea de 1,001 hasta 10,000 metros cuadrados: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$9.49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$35.78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Comercio y servicios: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$28.48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$41.63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w:t>
      </w:r>
      <w:r>
        <w:rPr>
          <w:rFonts w:ascii="Arial" w:hAnsi="Arial" w:cs="Arial"/>
          <w:sz w:val="24"/>
          <w:szCs w:val="24"/>
        </w:rPr>
        <w:t xml:space="preserve">ria y comercio: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$27.02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XIV. Las cantidades que por concepto de pago de derechos por aprovechamiento de la infraestructura básica existente en el Municipio, han de ser cubiertas por los particulares a la Hacienda Municipal, respecto a los predios que anteriormente hubiesen Estado sujetos al régimen de propiedad comunal o ejidal que, siendo escriturados por la Comisión Reguladora de la Tenencia de la Tierra (CORETT) o por el Programa de Certificación de Derechos Ejidales (PROCEDE) y/o Fondo de Apoyo para Núcleos Agrarios sin Regularizar (FANAR), estén ya sujetos al régimen de propiedad privada, serán reducidas en atención a la superficie del predio y a su uso establecido o propuesto, previa presentación de su título de propiedad, dictamen de uso de suelo y recibo de pago del impuesto predial según la siguiente tabla de reducciones: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tbl>
      <w:tblPr>
        <w:tblW w:w="4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1830"/>
        <w:gridCol w:w="1097"/>
        <w:gridCol w:w="1830"/>
        <w:gridCol w:w="1097"/>
      </w:tblGrid>
      <w:tr w:rsidR="00DA389F" w:rsidRPr="0007058E" w:rsidTr="00DA389F">
        <w:trPr>
          <w:trHeight w:val="20"/>
          <w:jc w:val="center"/>
        </w:trPr>
        <w:tc>
          <w:tcPr>
            <w:tcW w:w="1461" w:type="pct"/>
            <w:vMerge w:val="restar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SUPERFICIE</w:t>
            </w:r>
          </w:p>
        </w:tc>
        <w:tc>
          <w:tcPr>
            <w:tcW w:w="1763" w:type="pct"/>
            <w:gridSpan w:val="2"/>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USO HABITACIONAL</w:t>
            </w:r>
          </w:p>
        </w:tc>
        <w:tc>
          <w:tcPr>
            <w:tcW w:w="1776" w:type="pct"/>
            <w:gridSpan w:val="2"/>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OTROS USOS</w:t>
            </w:r>
          </w:p>
        </w:tc>
      </w:tr>
      <w:tr w:rsidR="00DA389F" w:rsidRPr="0007058E" w:rsidTr="00DA389F">
        <w:trPr>
          <w:trHeight w:val="20"/>
          <w:jc w:val="center"/>
        </w:trPr>
        <w:tc>
          <w:tcPr>
            <w:tcW w:w="1461" w:type="pct"/>
            <w:vMerge/>
            <w:vAlign w:val="center"/>
          </w:tcPr>
          <w:p w:rsidR="00DA389F" w:rsidRPr="006B7EB5" w:rsidRDefault="00DA389F" w:rsidP="00DA389F">
            <w:pPr>
              <w:spacing w:line="360" w:lineRule="auto"/>
              <w:jc w:val="center"/>
              <w:rPr>
                <w:rFonts w:ascii="Arial" w:hAnsi="Arial" w:cs="Arial"/>
                <w:sz w:val="24"/>
                <w:szCs w:val="24"/>
              </w:rPr>
            </w:pPr>
          </w:p>
        </w:tc>
        <w:tc>
          <w:tcPr>
            <w:tcW w:w="104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CONSTRUIDO</w:t>
            </w:r>
          </w:p>
        </w:tc>
        <w:tc>
          <w:tcPr>
            <w:tcW w:w="719"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BALDÍO</w:t>
            </w:r>
          </w:p>
        </w:tc>
        <w:tc>
          <w:tcPr>
            <w:tcW w:w="952"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CONSTRUIDO</w:t>
            </w:r>
          </w:p>
        </w:tc>
        <w:tc>
          <w:tcPr>
            <w:tcW w:w="82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BALDÍO</w:t>
            </w:r>
          </w:p>
        </w:tc>
      </w:tr>
      <w:tr w:rsidR="00DA389F" w:rsidRPr="0007058E" w:rsidTr="00DA389F">
        <w:trPr>
          <w:trHeight w:val="20"/>
          <w:jc w:val="center"/>
        </w:trPr>
        <w:tc>
          <w:tcPr>
            <w:tcW w:w="1461"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 xml:space="preserve">0 hasta </w:t>
            </w:r>
            <w:smartTag w:uri="urn:schemas-microsoft-com:office:smarttags" w:element="metricconverter">
              <w:smartTagPr>
                <w:attr w:name="ProductID" w:val="200 m2"/>
              </w:smartTagPr>
              <w:r w:rsidRPr="006B7EB5">
                <w:rPr>
                  <w:rFonts w:ascii="Arial" w:hAnsi="Arial" w:cs="Arial"/>
                  <w:b/>
                  <w:bCs/>
                  <w:sz w:val="24"/>
                  <w:szCs w:val="24"/>
                </w:rPr>
                <w:t>200 m2</w:t>
              </w:r>
            </w:smartTag>
          </w:p>
        </w:tc>
        <w:tc>
          <w:tcPr>
            <w:tcW w:w="104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90%</w:t>
            </w:r>
          </w:p>
        </w:tc>
        <w:tc>
          <w:tcPr>
            <w:tcW w:w="719"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75%</w:t>
            </w:r>
          </w:p>
        </w:tc>
        <w:tc>
          <w:tcPr>
            <w:tcW w:w="952"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50%</w:t>
            </w:r>
          </w:p>
        </w:tc>
        <w:tc>
          <w:tcPr>
            <w:tcW w:w="82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25%</w:t>
            </w:r>
          </w:p>
        </w:tc>
      </w:tr>
      <w:tr w:rsidR="00DA389F" w:rsidRPr="0007058E" w:rsidTr="00DA389F">
        <w:trPr>
          <w:trHeight w:val="20"/>
          <w:jc w:val="center"/>
        </w:trPr>
        <w:tc>
          <w:tcPr>
            <w:tcW w:w="1461"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 xml:space="preserve">201 hasta </w:t>
            </w:r>
            <w:smartTag w:uri="urn:schemas-microsoft-com:office:smarttags" w:element="metricconverter">
              <w:smartTagPr>
                <w:attr w:name="ProductID" w:val="400 m2"/>
              </w:smartTagPr>
              <w:r w:rsidRPr="006B7EB5">
                <w:rPr>
                  <w:rFonts w:ascii="Arial" w:hAnsi="Arial" w:cs="Arial"/>
                  <w:b/>
                  <w:bCs/>
                  <w:sz w:val="24"/>
                  <w:szCs w:val="24"/>
                </w:rPr>
                <w:t>400 m2</w:t>
              </w:r>
            </w:smartTag>
          </w:p>
        </w:tc>
        <w:tc>
          <w:tcPr>
            <w:tcW w:w="104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75%</w:t>
            </w:r>
          </w:p>
        </w:tc>
        <w:tc>
          <w:tcPr>
            <w:tcW w:w="719"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50%</w:t>
            </w:r>
          </w:p>
        </w:tc>
        <w:tc>
          <w:tcPr>
            <w:tcW w:w="952"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25%</w:t>
            </w:r>
          </w:p>
        </w:tc>
        <w:tc>
          <w:tcPr>
            <w:tcW w:w="82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15%</w:t>
            </w:r>
          </w:p>
        </w:tc>
      </w:tr>
      <w:tr w:rsidR="00DA389F" w:rsidRPr="0007058E" w:rsidTr="00DA389F">
        <w:trPr>
          <w:trHeight w:val="20"/>
          <w:jc w:val="center"/>
        </w:trPr>
        <w:tc>
          <w:tcPr>
            <w:tcW w:w="1461"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 xml:space="preserve">401 hasta </w:t>
            </w:r>
            <w:smartTag w:uri="urn:schemas-microsoft-com:office:smarttags" w:element="metricconverter">
              <w:smartTagPr>
                <w:attr w:name="ProductID" w:val="600 m2"/>
              </w:smartTagPr>
              <w:r w:rsidRPr="006B7EB5">
                <w:rPr>
                  <w:rFonts w:ascii="Arial" w:hAnsi="Arial" w:cs="Arial"/>
                  <w:b/>
                  <w:bCs/>
                  <w:sz w:val="24"/>
                  <w:szCs w:val="24"/>
                </w:rPr>
                <w:t>600 m2</w:t>
              </w:r>
            </w:smartTag>
          </w:p>
        </w:tc>
        <w:tc>
          <w:tcPr>
            <w:tcW w:w="104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60%</w:t>
            </w:r>
          </w:p>
        </w:tc>
        <w:tc>
          <w:tcPr>
            <w:tcW w:w="719"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35%</w:t>
            </w:r>
          </w:p>
        </w:tc>
        <w:tc>
          <w:tcPr>
            <w:tcW w:w="952"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20%</w:t>
            </w:r>
          </w:p>
        </w:tc>
        <w:tc>
          <w:tcPr>
            <w:tcW w:w="82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12%</w:t>
            </w:r>
          </w:p>
        </w:tc>
      </w:tr>
      <w:tr w:rsidR="00DA389F" w:rsidRPr="0007058E" w:rsidTr="00DA389F">
        <w:trPr>
          <w:trHeight w:val="20"/>
          <w:jc w:val="center"/>
        </w:trPr>
        <w:tc>
          <w:tcPr>
            <w:tcW w:w="1461"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b/>
                <w:bCs/>
                <w:sz w:val="24"/>
                <w:szCs w:val="24"/>
              </w:rPr>
              <w:t xml:space="preserve">601 hasta </w:t>
            </w:r>
            <w:smartTag w:uri="urn:schemas-microsoft-com:office:smarttags" w:element="metricconverter">
              <w:smartTagPr>
                <w:attr w:name="ProductID" w:val="1,000 m2"/>
              </w:smartTagPr>
              <w:r w:rsidRPr="006B7EB5">
                <w:rPr>
                  <w:rFonts w:ascii="Arial" w:hAnsi="Arial" w:cs="Arial"/>
                  <w:b/>
                  <w:bCs/>
                  <w:sz w:val="24"/>
                  <w:szCs w:val="24"/>
                </w:rPr>
                <w:t>1,000 m2</w:t>
              </w:r>
            </w:smartTag>
          </w:p>
        </w:tc>
        <w:tc>
          <w:tcPr>
            <w:tcW w:w="104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50%</w:t>
            </w:r>
          </w:p>
        </w:tc>
        <w:tc>
          <w:tcPr>
            <w:tcW w:w="719"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25%</w:t>
            </w:r>
          </w:p>
        </w:tc>
        <w:tc>
          <w:tcPr>
            <w:tcW w:w="952"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15%</w:t>
            </w:r>
          </w:p>
        </w:tc>
        <w:tc>
          <w:tcPr>
            <w:tcW w:w="824" w:type="pct"/>
            <w:vAlign w:val="center"/>
          </w:tcPr>
          <w:p w:rsidR="00DA389F" w:rsidRPr="006B7EB5" w:rsidRDefault="00DA389F" w:rsidP="00DA389F">
            <w:pPr>
              <w:spacing w:line="360" w:lineRule="auto"/>
              <w:jc w:val="center"/>
              <w:rPr>
                <w:rFonts w:ascii="Arial" w:hAnsi="Arial" w:cs="Arial"/>
                <w:sz w:val="24"/>
                <w:szCs w:val="24"/>
              </w:rPr>
            </w:pPr>
            <w:r w:rsidRPr="006B7EB5">
              <w:rPr>
                <w:rFonts w:ascii="Arial" w:hAnsi="Arial" w:cs="Arial"/>
                <w:sz w:val="24"/>
                <w:szCs w:val="24"/>
              </w:rPr>
              <w:t>10%</w:t>
            </w:r>
          </w:p>
        </w:tc>
      </w:tr>
    </w:tbl>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Los contribuyentes que se encuentren en el supuesto de este artículo y al mismo tiempo pudieran beneficiarse con la reducción de pago de estos derechos, de los incentivos fiscales a la actividad productiva de esta Ley, podrán optar por beneficiarse por la disposición que represente mayores ventajas económicas.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XV. En el permiso para subdividir en régimen de condominio, por los derechos de cajón de estacionamiento, por cada cajón según el tipo: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Inmuebles de uso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$144.61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$97.14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$235.91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$186.98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$479.14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$412.67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Plurifamiliar horizontal: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$812.93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Plurifamiliar vertical: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$484.25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Inmuebles de uso no habitacional: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1.- Comercio y servicios: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Barrial: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$281.20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Central: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$539.03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Regional: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$935.64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Servicios a la indust</w:t>
      </w:r>
      <w:r>
        <w:rPr>
          <w:rFonts w:ascii="Arial" w:hAnsi="Arial" w:cs="Arial"/>
          <w:sz w:val="24"/>
          <w:szCs w:val="24"/>
        </w:rPr>
        <w:t xml:space="preserve">ria y comercio: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$281.20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Industria: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Ligera, riesgo bajo: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$252.71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Media, riesgo medio: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$406.83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Pesada, riesgo 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$433.85</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3.- Equipamiento y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$368.85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SÉPTIMA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Servicios de obra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50.- Las personas físicas o jurídicas que requieran de los servicios que a continuación se mencionan para la realización de obras, cubrirán previamente los derechos correspondientes conforme a la siguiente: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ind w:left="5664" w:firstLine="708"/>
        <w:rPr>
          <w:rFonts w:ascii="Arial" w:hAnsi="Arial" w:cs="Arial"/>
          <w:sz w:val="24"/>
          <w:szCs w:val="24"/>
        </w:rPr>
      </w:pPr>
      <w:r w:rsidRPr="006B7EB5">
        <w:rPr>
          <w:rFonts w:ascii="Arial" w:hAnsi="Arial" w:cs="Arial"/>
          <w:sz w:val="24"/>
          <w:szCs w:val="24"/>
        </w:rPr>
        <w:t>TARIFA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medición de terrenos por la dependencia municipal de obras públicas, por metro cuadrado: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Por autorización para romper pavimento, banquetas o machuelos, para la instalación de tomas de agua, descargas o reparación de tuberías o servicios de cualquier naturaleza, por metro lineal: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Tomas y descargas: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toma corta (hasta tres metros):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Empedrado o Terracería: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Asfalto: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$33.59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Adoquín: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Concreto Hidráulico: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$66.46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Por toma larga, (más de tres metros):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Empedrado o Terracería: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$13.14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Asfalto: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$33.59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Adoquín: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Concreto Hidráulico: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$65.00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Otros usos por metro lineal: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Empedrado o Terracería: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$18.99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2.- Asfalto: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$42.36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Adoquín: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B3C37">
        <w:rPr>
          <w:rFonts w:ascii="Arial" w:hAnsi="Arial" w:cs="Arial"/>
          <w:sz w:val="24"/>
          <w:szCs w:val="24"/>
        </w:rPr>
        <w:t>$83.99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Concreto Hidráulico: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$108.09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reposición de empedrado o pavimento se realizará exclusivamente por la autoridad municipal, la cual se hará a los costos vigentes de mercado con cargo al propietario del inmueble para quien se haya solicitado el permiso, o de la persona responsable de la obra.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Las personas físicas o jurídicas que soliciten autorización para construcciones de infraestructura en la vía pública, pagarán los derechos correspondi</w:t>
      </w:r>
      <w:r>
        <w:rPr>
          <w:rFonts w:ascii="Arial" w:hAnsi="Arial" w:cs="Arial"/>
          <w:sz w:val="24"/>
          <w:szCs w:val="24"/>
        </w:rPr>
        <w:t xml:space="preserve">entes conforme a la siguiente: </w:t>
      </w:r>
    </w:p>
    <w:p w:rsidR="00DA389F" w:rsidRPr="006B7EB5" w:rsidRDefault="00DA389F" w:rsidP="00DA389F">
      <w:pPr>
        <w:spacing w:line="360" w:lineRule="auto"/>
        <w:ind w:left="2832"/>
        <w:rPr>
          <w:rFonts w:ascii="Arial" w:hAnsi="Arial" w:cs="Arial"/>
          <w:sz w:val="24"/>
          <w:szCs w:val="24"/>
        </w:rPr>
      </w:pPr>
      <w:r>
        <w:rPr>
          <w:rFonts w:ascii="Arial" w:hAnsi="Arial" w:cs="Arial"/>
          <w:sz w:val="24"/>
          <w:szCs w:val="24"/>
        </w:rPr>
        <w:t xml:space="preserve">                                                            </w:t>
      </w:r>
      <w:r w:rsidRPr="006B7EB5">
        <w:rPr>
          <w:rFonts w:ascii="Arial" w:hAnsi="Arial" w:cs="Arial"/>
          <w:sz w:val="24"/>
          <w:szCs w:val="24"/>
        </w:rPr>
        <w:t>TARIFA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Líneas ocultas, cada conducto, por metro lineal, en zanja hasta de 50 centímetros de ancho: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Tomas y descargas: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$97.14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Comunicación (telefonía, televisión por cable, internet, etc.):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Conducción eléctrica: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$97.14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Conducción de combu</w:t>
      </w:r>
      <w:r>
        <w:rPr>
          <w:rFonts w:ascii="Arial" w:hAnsi="Arial" w:cs="Arial"/>
          <w:sz w:val="24"/>
          <w:szCs w:val="24"/>
        </w:rPr>
        <w:t xml:space="preserve">stibles (gaseosos o líquidos): </w:t>
      </w:r>
      <w:r>
        <w:rPr>
          <w:rFonts w:ascii="Arial" w:hAnsi="Arial" w:cs="Arial"/>
          <w:sz w:val="24"/>
          <w:szCs w:val="24"/>
        </w:rPr>
        <w:tab/>
        <w:t xml:space="preserve">          $133.66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Líneas visibles, cada co</w:t>
      </w:r>
      <w:r>
        <w:rPr>
          <w:rFonts w:ascii="Arial" w:hAnsi="Arial" w:cs="Arial"/>
          <w:sz w:val="24"/>
          <w:szCs w:val="24"/>
        </w:rPr>
        <w:t xml:space="preserve">nducto, por metro lineal: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a) Comunicación (telefonía, televisión por cable, internet, etc.):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$18.26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Conducción eléctrica: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Por el permiso para la construcción de registros o túneles de servicio, un tanto del valor comercial del terreno utilizado.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OCTAVA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Servicios de sanidad</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51.- Las personas físicas o jurídicas que requieran de servicios de sanidad en los casos que se mencionan en esta sección pagarán los derechos correspondie</w:t>
      </w:r>
      <w:r>
        <w:rPr>
          <w:rFonts w:ascii="Arial" w:hAnsi="Arial" w:cs="Arial"/>
          <w:sz w:val="24"/>
          <w:szCs w:val="24"/>
        </w:rPr>
        <w:t xml:space="preserve">ntes, conforme a la siguiente: </w:t>
      </w:r>
    </w:p>
    <w:p w:rsidR="00DA389F" w:rsidRPr="006B7EB5" w:rsidRDefault="00DA389F" w:rsidP="00DA389F">
      <w:pPr>
        <w:spacing w:line="360" w:lineRule="auto"/>
        <w:ind w:left="6372"/>
        <w:rPr>
          <w:rFonts w:ascii="Arial" w:hAnsi="Arial" w:cs="Arial"/>
          <w:sz w:val="24"/>
          <w:szCs w:val="24"/>
        </w:rPr>
      </w:pPr>
      <w:r>
        <w:rPr>
          <w:rFonts w:ascii="Arial" w:hAnsi="Arial" w:cs="Arial"/>
          <w:sz w:val="24"/>
          <w:szCs w:val="24"/>
        </w:rPr>
        <w:t>TARIFA</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Inhumaciones y re inhumaciones, por cada una: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cementerios municipales: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$81.07</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cementerios </w:t>
      </w:r>
      <w:r>
        <w:rPr>
          <w:rFonts w:ascii="Arial" w:hAnsi="Arial" w:cs="Arial"/>
          <w:sz w:val="24"/>
          <w:szCs w:val="24"/>
        </w:rPr>
        <w:t xml:space="preserve">concesionados a particulares: </w:t>
      </w:r>
      <w:r>
        <w:rPr>
          <w:rFonts w:ascii="Arial" w:hAnsi="Arial" w:cs="Arial"/>
          <w:sz w:val="24"/>
          <w:szCs w:val="24"/>
        </w:rPr>
        <w:tab/>
      </w:r>
      <w:r>
        <w:rPr>
          <w:rFonts w:ascii="Arial" w:hAnsi="Arial" w:cs="Arial"/>
          <w:sz w:val="24"/>
          <w:szCs w:val="24"/>
        </w:rPr>
        <w:tab/>
        <w:t xml:space="preserve"> $94.22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Exhumaciones, por cada una: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w:t>
      </w:r>
      <w:r>
        <w:rPr>
          <w:rFonts w:ascii="Arial" w:hAnsi="Arial" w:cs="Arial"/>
          <w:sz w:val="24"/>
          <w:szCs w:val="24"/>
        </w:rPr>
        <w:t xml:space="preserve">Exhumaciones prematuras, de: </w:t>
      </w:r>
      <w:r>
        <w:rPr>
          <w:rFonts w:ascii="Arial" w:hAnsi="Arial" w:cs="Arial"/>
          <w:sz w:val="24"/>
          <w:szCs w:val="24"/>
        </w:rPr>
        <w:tab/>
      </w:r>
      <w:r>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$918.84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 restos áridos: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$66.46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Los servicios de cremación causarán, por cada uno, una cuota,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$928.33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IV. Traslado de cadáveres fuera del Municipio, por cada uno: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$45.28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NOVENA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Servicio de limpia, recolección, traslado, tratamiento y disposición final de residuos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52.- Las personas físicas o jurídicas, a quienes se presten los servicios que en esta sección se enumeran de conformidad con la Ley y reglamento en la materia, pagarán los derechos correspondi</w:t>
      </w:r>
      <w:r>
        <w:rPr>
          <w:rFonts w:ascii="Arial" w:hAnsi="Arial" w:cs="Arial"/>
          <w:sz w:val="24"/>
          <w:szCs w:val="24"/>
        </w:rPr>
        <w:t>entes conforme a la siguiente:</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TARIFA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recolección de basura, desechos o desperdicios no peligrosos en vehículos del Ayuntamiento, en los términos de lo dispuesto en los reglamentos municipales respectivos, por cada metro cúbico: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Por recolección y transporte para su incineración o tratamiento térmico de residuos biológico infecciosos, previo dictamen de la autoridad correspondiente en vehículos del Ayuntamiento, por cada bolsa de plástico de calibre mínimo 200, que cumpla con lo establecido en la NOM-087-ECOL/SSA1-2000: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$55.51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Por recolección y transporte para su incineración o tratamiento térmico de residuos biológicos infecciosos, previo dictamen de la autoridad correspondiente en vehículos del Ayuntamiento, por cada recipiente rígido de polipropileno, que cumpla con lo establecido en la NOM-087-ECOL/SSA1-2000: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Con capacidad de ha</w:t>
      </w:r>
      <w:r>
        <w:rPr>
          <w:rFonts w:ascii="Arial" w:hAnsi="Arial" w:cs="Arial"/>
          <w:sz w:val="24"/>
          <w:szCs w:val="24"/>
        </w:rPr>
        <w:t xml:space="preserve">sta 5.0 litros: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Con capacidad de más d</w:t>
      </w:r>
      <w:r>
        <w:rPr>
          <w:rFonts w:ascii="Arial" w:hAnsi="Arial" w:cs="Arial"/>
          <w:sz w:val="24"/>
          <w:szCs w:val="24"/>
        </w:rPr>
        <w:t xml:space="preserve">e 5.0 litros hasta 9.0 litros: </w:t>
      </w:r>
      <w:r>
        <w:rPr>
          <w:rFonts w:ascii="Arial" w:hAnsi="Arial" w:cs="Arial"/>
          <w:sz w:val="24"/>
          <w:szCs w:val="24"/>
        </w:rPr>
        <w:tab/>
        <w:t xml:space="preserve"> $68.65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Con capacidad de más d</w:t>
      </w:r>
      <w:r>
        <w:rPr>
          <w:rFonts w:ascii="Arial" w:hAnsi="Arial" w:cs="Arial"/>
          <w:sz w:val="24"/>
          <w:szCs w:val="24"/>
        </w:rPr>
        <w:t>e 9.0 litros hasta 12.0 litros:</w:t>
      </w:r>
      <w:r>
        <w:rPr>
          <w:rFonts w:ascii="Arial" w:hAnsi="Arial" w:cs="Arial"/>
          <w:sz w:val="24"/>
          <w:szCs w:val="24"/>
        </w:rPr>
        <w:tab/>
        <w:t xml:space="preserve"> $102.25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Con capacidad de más de 1</w:t>
      </w:r>
      <w:r>
        <w:rPr>
          <w:rFonts w:ascii="Arial" w:hAnsi="Arial" w:cs="Arial"/>
          <w:sz w:val="24"/>
          <w:szCs w:val="24"/>
        </w:rPr>
        <w:t xml:space="preserve">2.0 litros hasta 19.0 litros: </w:t>
      </w:r>
      <w:r>
        <w:rPr>
          <w:rFonts w:ascii="Arial" w:hAnsi="Arial" w:cs="Arial"/>
          <w:sz w:val="24"/>
          <w:szCs w:val="24"/>
        </w:rPr>
        <w:tab/>
        <w:t xml:space="preserve"> $167.26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Por limpieza de lotes baldíos, jardines, prados, banquetas y  similares, en rebeldía una vez que se haya agotado el proceso de notificación  correspondiente de los usuarios obligados a mantenerlos limpios, quienes deberán pagar el costo del servicio dentro de los cinco días posteriores a su  notificación, por cada met</w:t>
      </w:r>
      <w:r>
        <w:rPr>
          <w:rFonts w:ascii="Arial" w:hAnsi="Arial" w:cs="Arial"/>
          <w:sz w:val="24"/>
          <w:szCs w:val="24"/>
        </w:rPr>
        <w:t>ro cúbico de basura o desecho:     $11.68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Cuando se requieran servicios de camiones de aseo en forma exclusiva,  por cada flete: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$68.65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Por permitir a particulares que utilicen los tiraderos municipales, por  cada metro cúbico: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 Por otros servicios similares no especificados en esta sección,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$210.35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DÉCIMA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Agua potable, drenaje, alcantarillado, tratamiento y disposición final de aguas Residuales.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53.- Las personas físicas o jurídicas, propietarias o poseedoras de inmuebles en el Municipio de Atengo, Jalisco, que se beneficien directa o indirectamente con los servicios de agua y alcantarillado, que el Ayuntamiento proporciona, bien porque reciban ambos o alguno de ellos o porque por el frente de los inmuebles que posean, pase alguna de estas redes, cubrirán los derechos correspondientes, conforme a la tarifa mensual establecida en esta ley.</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Artículo 54.- Los servicios que el Municipio proporciona deberán de sujetarse a alguno de los siguientes regímenes: servicio medido, y en tanto no se instale el medidor, al régimen de cuota fija.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55.- Las tarifas del servicio de agua potable, tanto en las de cuota fija como las de servicio medido, serán de dos clases: domésticas, aplicadas a las tomas que den servicio a casa habitación; y no doméstica, aplicadas a las que hagan del agua un uso distinto al doméstico, ya sea total o parcialmente.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56.- Servicio a cuota fija.- Los usuarios que estén bajo este régimen, deberán de efectuar, en los primeros 15 días del bimestre, el pago correspondiente a las cuotas mensuales aplicables, conforme a las características del predio, registrado en el padrón de usuarios, o las que se determinen por la verificación del mismo, conforme al contenido de esta sección.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Servicio doméstico: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Casa habitación unifamiliar o departamento: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Hasta dos recá</w:t>
      </w:r>
      <w:r>
        <w:rPr>
          <w:rFonts w:ascii="Arial" w:hAnsi="Arial" w:cs="Arial"/>
          <w:sz w:val="24"/>
          <w:szCs w:val="24"/>
        </w:rPr>
        <w:t>maras y un baño: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$56.24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cada rec</w:t>
      </w:r>
      <w:r>
        <w:rPr>
          <w:rFonts w:ascii="Arial" w:hAnsi="Arial" w:cs="Arial"/>
          <w:sz w:val="24"/>
          <w:szCs w:val="24"/>
        </w:rPr>
        <w:t>ámara excedente: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Por cada baño excedente: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$6.57</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El cuarto de servicio se considerará recámara y el medio baño, como baño incluyendo los casos de los demás incisos.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Vecindades, con vivienda de una habitación y servicios sanitarios comunes:</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Hasta por ocho viviendas: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$127.08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cad</w:t>
      </w:r>
      <w:r>
        <w:rPr>
          <w:rFonts w:ascii="Arial" w:hAnsi="Arial" w:cs="Arial"/>
          <w:sz w:val="24"/>
          <w:szCs w:val="24"/>
        </w:rPr>
        <w:t>a vivienda excedente de ocho: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Servicio no doméstico: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Hoteles, sanatorios, internados, seminarios, conventos, casas de huéspedes y similares con facilidades para pernoctar:</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Por cada dormitorio sin baño: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$10.95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cada</w:t>
      </w:r>
      <w:r>
        <w:rPr>
          <w:rFonts w:ascii="Arial" w:hAnsi="Arial" w:cs="Arial"/>
          <w:sz w:val="24"/>
          <w:szCs w:val="24"/>
        </w:rPr>
        <w:t xml:space="preserve"> dormitorio con baño privado: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$16.06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Baños para uso común,</w:t>
      </w:r>
      <w:r>
        <w:rPr>
          <w:rFonts w:ascii="Arial" w:hAnsi="Arial" w:cs="Arial"/>
          <w:sz w:val="24"/>
          <w:szCs w:val="24"/>
        </w:rPr>
        <w:t xml:space="preserve"> hasta tres salidas o muebles:</w:t>
      </w:r>
      <w:r>
        <w:rPr>
          <w:rFonts w:ascii="Arial" w:hAnsi="Arial" w:cs="Arial"/>
          <w:sz w:val="24"/>
          <w:szCs w:val="24"/>
        </w:rPr>
        <w:tab/>
        <w:t xml:space="preserve">            $21.18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Cada múltiplo de tres salidas o muebles equivale a un baño.</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Los hoteles de paso y negocios similares pagarán las cuotas antes señaladas con un incremento del:</w:t>
      </w:r>
      <w:r w:rsidRPr="006B7EB5">
        <w:rPr>
          <w:rFonts w:ascii="Arial" w:hAnsi="Arial" w:cs="Arial"/>
          <w:sz w:val="24"/>
          <w:szCs w:val="24"/>
        </w:rPr>
        <w:tab/>
      </w:r>
      <w:r w:rsidRPr="006B7EB5">
        <w:rPr>
          <w:rFonts w:ascii="Arial" w:hAnsi="Arial" w:cs="Arial"/>
          <w:sz w:val="24"/>
          <w:szCs w:val="24"/>
        </w:rPr>
        <w:tab/>
        <w:t>60.00%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Calderas:</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De 10 HP hasta 50 HP:</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$18.99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De 51 HP hasta 100 HP:</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$39.44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De 101 HP hasta 200 HP:</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$78.88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De 201 HP o más: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$132.93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Lavanderías y tintorerías: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Por cad</w:t>
      </w:r>
      <w:r>
        <w:rPr>
          <w:rFonts w:ascii="Arial" w:hAnsi="Arial" w:cs="Arial"/>
          <w:sz w:val="24"/>
          <w:szCs w:val="24"/>
        </w:rPr>
        <w:t>a válvula o máquina lavadora: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$61.35</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Los locales destinados únicamente a la distribución de las prendas serán considerados como locales comerciales.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Albercas, chapoteaderos, espejos de agua y similares: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Con equipo de purificación y retorno, por cada metro cúbico de capacidad:</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Sin equipo de purificación y retorno, se estimará el consumo de agua, tomando en cuenta la capacidad multiplicada por cuatro veces para calcular el costo de consumo mensual y determinar en ese sentido el pago bimestral al multiplicarlo por dos (2), con base en la tarifa correspondiente a servicio medido en el renglón de no doméstico.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Para efectos de determinar la capacidad de los depósitos aquí referidos el funcionario encargado de la Hacienda Municipal, o quien el designe y un servidor del área de obras públicas del Ayuntamiento verificarán físicamente la capacidad del depósito de que se trate y dejarán constancia por escrito de la misma, con la finalidad de acotar el cobro, en virtud del uso del agua, a lo que es debido. Dado que la Ley de Salud del Estado de Jalisco establece claramente cada cuando debe reciclarse el agua de este tipo de depósitos no mediará palabra de no uso o no reciclaje; en caso de no uso los servidores mencionados deberán certificar tal circunstancia por escrito, considerando que para tal caso el depósito debe estar siempre vacío y el llenado del mismo aunque sea por una sola ocasión determinará el cobro bajo las modalidades de este inciso d).</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Jardines, por cada </w:t>
      </w:r>
      <w:r>
        <w:rPr>
          <w:rFonts w:ascii="Arial" w:hAnsi="Arial" w:cs="Arial"/>
          <w:sz w:val="24"/>
          <w:szCs w:val="24"/>
        </w:rPr>
        <w:t xml:space="preserve">metro cuadrado: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f) Fuentes en todo </w:t>
      </w:r>
      <w:r>
        <w:rPr>
          <w:rFonts w:ascii="Arial" w:hAnsi="Arial" w:cs="Arial"/>
          <w:sz w:val="24"/>
          <w:szCs w:val="24"/>
        </w:rPr>
        <w:t xml:space="preserve">tipo de predio: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$9.49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Es obligatoria la instalación de equipos de retorno en cada fuente. Su violación se encuadrará en lo dispuesto por esta ley y su reincidencia podrá ser motivo de reducción del suministro del servicio al predio;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g) Oficinas y loca</w:t>
      </w:r>
      <w:r>
        <w:rPr>
          <w:rFonts w:ascii="Arial" w:hAnsi="Arial" w:cs="Arial"/>
          <w:sz w:val="24"/>
          <w:szCs w:val="24"/>
        </w:rPr>
        <w:t>les comerciales, por cada uno:</w:t>
      </w:r>
      <w:r>
        <w:rPr>
          <w:rFonts w:ascii="Arial" w:hAnsi="Arial" w:cs="Arial"/>
          <w:sz w:val="24"/>
          <w:szCs w:val="24"/>
        </w:rPr>
        <w:tab/>
      </w:r>
      <w:r>
        <w:rPr>
          <w:rFonts w:ascii="Arial" w:hAnsi="Arial" w:cs="Arial"/>
          <w:sz w:val="24"/>
          <w:szCs w:val="24"/>
        </w:rPr>
        <w:tab/>
        <w:t>$14.60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Se consideran servicios sanitarios privados, en oficinas o locales comerciales los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Cuando se encuentren en su interior y sean para uso exclusivo de quienes ahí trabajen y éstos no sean más de diez personas;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Cuando sean para un piso o entre piso, siempre y cuando sean para uso exclusivo de quienes ahí trabajen;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Servicios sanitarios comunes, por cada tres salidas o muebles:</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h) Lugares donde se expendan comidas o bebidas; Fregaderos de cocina, tarjas para lavado de loza, lavadoras de platos, barras y similares, por cada una de estas salidas, tipo o mueble: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$41.63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Servicios sanitarios de uso público, baños públicos, clubes deportivos y </w:t>
      </w:r>
    </w:p>
    <w:p w:rsidR="00DA389F" w:rsidRPr="006B7EB5" w:rsidRDefault="00DA389F" w:rsidP="00DA389F">
      <w:pPr>
        <w:spacing w:line="360" w:lineRule="auto"/>
        <w:rPr>
          <w:rFonts w:ascii="Arial" w:hAnsi="Arial" w:cs="Arial"/>
          <w:sz w:val="24"/>
          <w:szCs w:val="24"/>
        </w:rPr>
      </w:pPr>
      <w:proofErr w:type="gramStart"/>
      <w:r w:rsidRPr="006B7EB5">
        <w:rPr>
          <w:rFonts w:ascii="Arial" w:hAnsi="Arial" w:cs="Arial"/>
          <w:sz w:val="24"/>
          <w:szCs w:val="24"/>
        </w:rPr>
        <w:t>similares</w:t>
      </w:r>
      <w:proofErr w:type="gramEnd"/>
      <w:r w:rsidRPr="006B7EB5">
        <w:rPr>
          <w:rFonts w:ascii="Arial" w:hAnsi="Arial" w:cs="Arial"/>
          <w:sz w:val="24"/>
          <w:szCs w:val="24"/>
        </w:rPr>
        <w:t>:</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Por cada regadera: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$27.02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Por cada mueble sanitario: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$21.91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Departamento</w:t>
      </w:r>
      <w:r>
        <w:rPr>
          <w:rFonts w:ascii="Arial" w:hAnsi="Arial" w:cs="Arial"/>
          <w:sz w:val="24"/>
          <w:szCs w:val="24"/>
        </w:rPr>
        <w:t xml:space="preserve"> de vapor individual: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$28.48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Departamento d</w:t>
      </w:r>
      <w:r>
        <w:rPr>
          <w:rFonts w:ascii="Arial" w:hAnsi="Arial" w:cs="Arial"/>
          <w:sz w:val="24"/>
          <w:szCs w:val="24"/>
        </w:rPr>
        <w:t>e vapor general: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$61.35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Se consideran también servicios sanitarios de uso público, los que estén al servicio del público asistente a cualquier tipo de predio, excepto habitacional;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j) Lavaderos de vehículos automotores: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Por cada llave de </w:t>
      </w:r>
      <w:r>
        <w:rPr>
          <w:rFonts w:ascii="Arial" w:hAnsi="Arial" w:cs="Arial"/>
          <w:sz w:val="24"/>
          <w:szCs w:val="24"/>
        </w:rPr>
        <w:t xml:space="preserve">presión o arco: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$121.97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cada pulpo: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$159.22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k) Para usos industriales o comerciales no señalados expresamente, se estimará el consumo de las salidas no tabuladas y se calificará conforme al uso y características del predio.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Cuando exista fuente propia de abastecimiento, se bonificará un 20% de la tarifa que resulte;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Cuando el consumo de las salidas mencionadas rebase el doble de la cantidad estimada para uso doméstico, se considerará como uso productivo, y deberá cubrirse guardando como referencia la proporción que para uso doméstico se estima conforme a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CUOTAS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Usos productivos de agua potable del sistema municipal, por metro cúbico: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Uso productivo que no usa agua potable del sistema municipal, por metro cúbico: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$0.73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Los establos, zahúrdas y granjas pagarán: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Establos y zahúr</w:t>
      </w:r>
      <w:r>
        <w:rPr>
          <w:rFonts w:ascii="Arial" w:hAnsi="Arial" w:cs="Arial"/>
          <w:sz w:val="24"/>
          <w:szCs w:val="24"/>
        </w:rPr>
        <w:t>das, por cabeza: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Granjas, por cada 100 aves: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Predios Baldíos: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Los predios baldíos que tengan toma instalada, pagarán mensualmente: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Predios baldíos has</w:t>
      </w:r>
      <w:r>
        <w:rPr>
          <w:rFonts w:ascii="Arial" w:hAnsi="Arial" w:cs="Arial"/>
          <w:sz w:val="24"/>
          <w:szCs w:val="24"/>
        </w:rPr>
        <w:t>ta de una superficie de 250 m2:</w:t>
      </w:r>
      <w:r>
        <w:rPr>
          <w:rFonts w:ascii="Arial" w:hAnsi="Arial" w:cs="Arial"/>
          <w:sz w:val="24"/>
          <w:szCs w:val="24"/>
        </w:rPr>
        <w:tab/>
        <w:t xml:space="preserve"> $67.92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cada metro excede</w:t>
      </w:r>
      <w:r>
        <w:rPr>
          <w:rFonts w:ascii="Arial" w:hAnsi="Arial" w:cs="Arial"/>
          <w:sz w:val="24"/>
          <w:szCs w:val="24"/>
        </w:rPr>
        <w:t xml:space="preserve">nte de 250 m2 hasta 1,000 m2: </w:t>
      </w:r>
      <w:r>
        <w:rPr>
          <w:rFonts w:ascii="Arial" w:hAnsi="Arial" w:cs="Arial"/>
          <w:sz w:val="24"/>
          <w:szCs w:val="24"/>
        </w:rPr>
        <w:tab/>
        <w:t xml:space="preserve"> $67.92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3.- Predios mayores de 1,000 m2 se aplicarán las cuotas de los numerales anteriores, y por cad</w:t>
      </w:r>
      <w:r>
        <w:rPr>
          <w:rFonts w:ascii="Arial" w:hAnsi="Arial" w:cs="Arial"/>
          <w:sz w:val="24"/>
          <w:szCs w:val="24"/>
        </w:rPr>
        <w:t xml:space="preserve">a m2 excedente: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$67.92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Los predios baldíos que no cuenten con toma instalada, pagarán el 50% de lo correspondiente a la cuota señalada en el inciso 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las áreas no urbanizadas por cuyo frente pase tubería de agua o alcantarillado pagarán como lotes baldíos estimando la superficie hasta un fondo máximo de 30 metros, quedando el excedente en la categoría rustica del servicio.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Los predios baldíos, propiedad de urbanizaciones legalmente constituidas, tendrán una bonificación del 50% de las cuotas anteriores, en tanto no sea transmitida la posesión a otro detentador a cualquier título, momento a partir del cual cubrirán sus cuotas normalmente.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Las urbanizaciones comenzarán a cubrir sus cuotas a partir de la fecha de conexión a la red del sistema y tendrán obligación de entregar bimestralmente una relación de los nuevos poseedores de los predios, para la actualización de su padrón de usuarios</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En caso de no cumplirse ésta obligación se suprimirá la bonificación aludida.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Aprovechamiento de la infraestructura básica existente: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Urbanizaciones o nuevas áreas que demanden agua potable, así como incrementos en su uso en zonas ya en servicio, además de las obras complementarias que para el caso especial se requiera: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Urbanizaciones y nuevas áreas por urbanizar: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Para otorgar los servicios e incrementar la infraestructura de captación y potabilización, por metro cuadrado vendible, por una sola vez: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b) Para incrementar la infraestructura de captación, conducción y alejamiento de aguas residuales, por una sola vez, por metro cuadrado de superficie vendible: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$8.76</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c) Las áreas de origen ejidal, al ser regularizadas o incorporadas al servicio de agua y/o alcantarillado, pagarán por una sola vez, por metro cuadrado: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Todo propietario de predio urbano debe haber pagado, en su oportunidad, lo establecido en los incisos a) y b), del numeral 1, anterior.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LOCALIDADES: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tarifa mínima en cada una de las localidades del Municipio será la siguiente: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SOYATLÁN DEL ORO: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$49.66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COFRADÍA DE LEPE: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$40.90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AGOSTADERO: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$40.90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YERBABUENA: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$40.90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OJO DE AGUA: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$40.90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TACOTA: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$40.90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EL MACUCHI:</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$40.90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El cobro de las tarifas diferenciales será calculado en base al tabulador de la cabecera municipal, guardando las proporciones que correspondan por la diferencia entre la tarifa de la localidad y de la cabecera municipal.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57.- Derecho por conexión al servicio Cuando los usuarios soliciten la conexión de su predio ya urbanizado con los servicios de agua potable y/o alcantarillado, deberán pagar, aparte de la mano de obra y materiales necesarios para su instalación,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CUOTAS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Toma de agua: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Toma de 1/2":</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$165.80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proofErr w:type="gramStart"/>
      <w:r w:rsidRPr="006B7EB5">
        <w:rPr>
          <w:rFonts w:ascii="Arial" w:hAnsi="Arial" w:cs="Arial"/>
          <w:sz w:val="24"/>
          <w:szCs w:val="24"/>
        </w:rPr>
        <w:t>Las tomas</w:t>
      </w:r>
      <w:proofErr w:type="gramEnd"/>
      <w:r w:rsidRPr="006B7EB5">
        <w:rPr>
          <w:rFonts w:ascii="Arial" w:hAnsi="Arial" w:cs="Arial"/>
          <w:sz w:val="24"/>
          <w:szCs w:val="24"/>
        </w:rPr>
        <w:t xml:space="preserve"> no domésticas sólo serán autorizadas por la dependencia municipal encargada de la prestación del servicio, y las solicitudes respectivas, serán turnadas a ésta;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Toma de 3/4":</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$243.95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Descarga de drenaje: (Longitud de 6 metros, descarga de 6"):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$167.26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Cuando se solicite la contratación o reposición de tomas o descargas de diámetros mayores a los especificados anteriormente, los servicios se proporcionarán de conformidad con los convenios a los que se llegue, tomando en cuenta las dificultades técnicas que se deban superar y el costo de las instalaciones y los equipos que para tales efectos se requieran;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58.- Servicio medido: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Los usuarios que estén bajo este régimen, deberán hacer el pago en los siguientes 15 días de la fecha de facturación bimestral correspondiente.</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En los casos de que la dirección de agua potable y alcantarillado determinen la utilización del régimen de servicio medido el costo de medidor será con cargo al usuario.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Cuando el consumo mensual no rebase los 15m3 que para uso doméstico mínimo se estima, deberá el usuario de cubrir una c</w:t>
      </w:r>
      <w:r>
        <w:rPr>
          <w:rFonts w:ascii="Arial" w:hAnsi="Arial" w:cs="Arial"/>
          <w:sz w:val="24"/>
          <w:szCs w:val="24"/>
        </w:rPr>
        <w:t>uota mínima mensual de $56.97</w:t>
      </w:r>
      <w:r w:rsidRPr="006B7EB5">
        <w:rPr>
          <w:rFonts w:ascii="Arial" w:hAnsi="Arial" w:cs="Arial"/>
          <w:sz w:val="24"/>
          <w:szCs w:val="24"/>
        </w:rPr>
        <w:t xml:space="preserve"> y por cada metro cúbico excedente, conforme a las siguientes: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16 – 30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31 – 45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46 – 60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61 – 75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76 – 90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91 m3 en adelante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Cuando el consumo mensual no rebase los 25 m3 que para uso no doméstico mínimo se estima, deberá el usuario de cubrir una c</w:t>
      </w:r>
      <w:r>
        <w:rPr>
          <w:rFonts w:ascii="Arial" w:hAnsi="Arial" w:cs="Arial"/>
          <w:sz w:val="24"/>
          <w:szCs w:val="24"/>
        </w:rPr>
        <w:t>uota mínima mensual de $86.91</w:t>
      </w:r>
      <w:r w:rsidRPr="006B7EB5">
        <w:rPr>
          <w:rFonts w:ascii="Arial" w:hAnsi="Arial" w:cs="Arial"/>
          <w:sz w:val="24"/>
          <w:szCs w:val="24"/>
        </w:rPr>
        <w:t xml:space="preserve"> y por cada metro cúbico excedente, conforme a las siguientes tarifas: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26 – 40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41 – 55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56 – 70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71 – 85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86 – 100 m3</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101 m3 en adelante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$7.30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59.- Se aplicarán, exclusivamente, al renglón de agua, drenaje y alcantarillado, las siguientes disposiciones generales: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Todo usuario deberá estar comprendido en alguno de los renglones tarifarios que este instrumento legal señala;</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La transmisión de los lotes del urbanizador al beneficiario de los servicios, ampara la disponibilidad técnica del servicio para casa habitación unifamiliar, a menos que se haya especificado con la dependencia municipal encargada de su prestación, de otra manera, por lo que en caso de edificio de departamentos, condominios y unidades habitacionales de tipo comercial o industrial, deberá ser contratado el servicio bajo otras bases conforme la demanda requerida en litros por segundo, sobre la base de</w:t>
      </w:r>
      <w:r>
        <w:rPr>
          <w:rFonts w:ascii="Arial" w:hAnsi="Arial" w:cs="Arial"/>
          <w:sz w:val="24"/>
          <w:szCs w:val="24"/>
        </w:rPr>
        <w:t>l costo de $2,229.18</w:t>
      </w:r>
      <w:r w:rsidRPr="006B7EB5">
        <w:rPr>
          <w:rFonts w:ascii="Arial" w:hAnsi="Arial" w:cs="Arial"/>
          <w:sz w:val="24"/>
          <w:szCs w:val="24"/>
        </w:rPr>
        <w:t xml:space="preserve"> por litro por segundo, además </w:t>
      </w:r>
      <w:r w:rsidRPr="006B7EB5">
        <w:rPr>
          <w:rFonts w:ascii="Arial" w:hAnsi="Arial" w:cs="Arial"/>
          <w:sz w:val="24"/>
          <w:szCs w:val="24"/>
        </w:rPr>
        <w:lastRenderedPageBreak/>
        <w:t xml:space="preserve">del costo de instalaciones complementarias a que hubiera lugar en el momento de la contratación de su regularización al ser detectado;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En los predios sujetos a cuota fija cuando, a través de las inspecciones domiciliarias se encuentren características diferentes a las que estén registradas en el padrón, el usuario pagará las diferencias que resulten.</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Tratándose de predios a los que se les proporcione servicio a cuota fija y el usuario no esté de acuerdo con los datos que arroje la verificación efectuada por la dependencia municipal encargada de la prestación del servicio y sea posible técnicamente la instalación de medidores, tal situación se resolverá con la instalación de éstos; para considerar el cobro como servicio medido.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Los propietarios de todo predio de uso no industrial por cuyo frente o cualquier colindancia pasen redes únicamente de drenaje, y hagan uso del servicio, cubrirán el 30% de la cuota que le resulte aplicable por las anteriores tarifas;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Cuando un predio en una urbanización u otra área urbanizada demande agua potable en mayor cantidad de la concedida o establecida para uso habitacional unifamiliar, se deberá cubrir el excedente que</w:t>
      </w:r>
      <w:r>
        <w:rPr>
          <w:rFonts w:ascii="Arial" w:hAnsi="Arial" w:cs="Arial"/>
          <w:sz w:val="24"/>
          <w:szCs w:val="24"/>
        </w:rPr>
        <w:t xml:space="preserve"> se genere a razón de $2,340.20</w:t>
      </w:r>
      <w:r w:rsidRPr="006B7EB5">
        <w:rPr>
          <w:rFonts w:ascii="Arial" w:hAnsi="Arial" w:cs="Arial"/>
          <w:sz w:val="24"/>
          <w:szCs w:val="24"/>
        </w:rPr>
        <w:t xml:space="preserve"> por litro por segundo, además del costo de las instalaciones complementarias a que hubiere lugar, independientemente de haber cubierto los derechos correspondientes;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 Los notarios no autorizarán escrituras sin comprobar que el pago del agua se encuentra al corriente en el momento de autorizar la enajenación;</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VIII. Cuando el usuario sea una institución considerada de beneficencia social en los términos de las leyes en la materia, previa petición expresa, se le bonificará a la tarifa correspondiente un:</w:t>
      </w:r>
      <w:r w:rsidRPr="006B7EB5">
        <w:rPr>
          <w:rFonts w:ascii="Arial" w:hAnsi="Arial" w:cs="Arial"/>
          <w:sz w:val="24"/>
          <w:szCs w:val="24"/>
        </w:rPr>
        <w:tab/>
      </w:r>
      <w:r w:rsidRPr="006B7EB5">
        <w:rPr>
          <w:rFonts w:ascii="Arial" w:hAnsi="Arial" w:cs="Arial"/>
          <w:sz w:val="24"/>
          <w:szCs w:val="24"/>
        </w:rPr>
        <w:tab/>
        <w:t>50.00%</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IX. Los servicios que proporciona la dependencia municipal sean domésticos o no domésticos, se vigilará por parte de éste que se adopten las medidas de racionalización, obligándose a los propietarios a cumplir con las disposiciones conducentes a hacer un mejor uso del líquido;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 Quienes se beneficien directamente con los servicios de agua y alcantarillado pagarán, adicionalmente, un 20% sobre los derechos que correspondan, cuyo producto será destinado a la construcción, operación y mantenimiento de colectores y plantas de tratamiento de aguas residuales.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 Quienes se beneficien con los servicios de agua y alcantarillado, pagarán adicionalmente el 3% de las cuotas antes mencionadas, cuyo producto de dicho servicio, será destinado a la infraestructura, así como al mantenimiento de las redes de agua potable existentes.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 A los contribuyentes de este derecho, que efectúen el pago, correspondiente al año </w:t>
      </w:r>
      <w:r>
        <w:rPr>
          <w:rFonts w:ascii="Arial" w:hAnsi="Arial" w:cs="Arial"/>
          <w:sz w:val="24"/>
          <w:szCs w:val="24"/>
        </w:rPr>
        <w:t>2018</w:t>
      </w:r>
      <w:r w:rsidRPr="006B7EB5">
        <w:rPr>
          <w:rFonts w:ascii="Arial" w:hAnsi="Arial" w:cs="Arial"/>
          <w:sz w:val="24"/>
          <w:szCs w:val="24"/>
        </w:rPr>
        <w:t xml:space="preserve">, en una sola exhibición se les concederán las siguientes reducciones: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Si efectúan el pago antes del día 1° de marzo del año </w:t>
      </w:r>
      <w:r>
        <w:rPr>
          <w:rFonts w:ascii="Arial" w:hAnsi="Arial" w:cs="Arial"/>
          <w:sz w:val="24"/>
          <w:szCs w:val="24"/>
        </w:rPr>
        <w:t>2018</w:t>
      </w:r>
      <w:r w:rsidRPr="006B7EB5">
        <w:rPr>
          <w:rFonts w:ascii="Arial" w:hAnsi="Arial" w:cs="Arial"/>
          <w:sz w:val="24"/>
          <w:szCs w:val="24"/>
        </w:rPr>
        <w:t xml:space="preserve">, el; </w:t>
      </w:r>
      <w:r w:rsidRPr="006B7EB5">
        <w:rPr>
          <w:rFonts w:ascii="Arial" w:hAnsi="Arial" w:cs="Arial"/>
          <w:sz w:val="24"/>
          <w:szCs w:val="24"/>
        </w:rPr>
        <w:tab/>
      </w:r>
      <w:r w:rsidRPr="006B7EB5">
        <w:rPr>
          <w:rFonts w:ascii="Arial" w:hAnsi="Arial" w:cs="Arial"/>
          <w:sz w:val="24"/>
          <w:szCs w:val="24"/>
        </w:rPr>
        <w:tab/>
        <w:t>15.00%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Si efectúan el pago antes del día 1° de mayo del año </w:t>
      </w:r>
      <w:r>
        <w:rPr>
          <w:rFonts w:ascii="Arial" w:hAnsi="Arial" w:cs="Arial"/>
          <w:sz w:val="24"/>
          <w:szCs w:val="24"/>
        </w:rPr>
        <w:t>2018</w:t>
      </w:r>
      <w:r w:rsidRPr="006B7EB5">
        <w:rPr>
          <w:rFonts w:ascii="Arial" w:hAnsi="Arial" w:cs="Arial"/>
          <w:sz w:val="24"/>
          <w:szCs w:val="24"/>
        </w:rPr>
        <w:t xml:space="preserve">, el: </w:t>
      </w:r>
      <w:r w:rsidRPr="006B7EB5">
        <w:rPr>
          <w:rFonts w:ascii="Arial" w:hAnsi="Arial" w:cs="Arial"/>
          <w:sz w:val="24"/>
          <w:szCs w:val="24"/>
        </w:rPr>
        <w:tab/>
      </w:r>
      <w:r w:rsidRPr="006B7EB5">
        <w:rPr>
          <w:rFonts w:ascii="Arial" w:hAnsi="Arial" w:cs="Arial"/>
          <w:sz w:val="24"/>
          <w:szCs w:val="24"/>
        </w:rPr>
        <w:tab/>
        <w:t>5.00%</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XIII. Quienes acrediten tener la calidad de jubilados, pensionados, discapacitados, viudos, viudas o que tengan 60 años o más, serán beneficiados con una reducción del 50% de las cuotas y tarifas que en esta sección se señalan, pudiendo efectuar el pago bimestralmente o en una sola exhibición lo correspondiente al año </w:t>
      </w:r>
      <w:r>
        <w:rPr>
          <w:rFonts w:ascii="Arial" w:hAnsi="Arial" w:cs="Arial"/>
          <w:sz w:val="24"/>
          <w:szCs w:val="24"/>
        </w:rPr>
        <w:t>2018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En todos los casos se otorgará la reducción antes citada, tratándose exclusivamente de casa habitación, para lo cual los beneficiados deberán entregar la siguiente documentación: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Copia del talón de ingresos como pensionado, jubilado o discapacitado expedido por institución oficial del país y de la credencial de elector.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Cuando se trate de personas que tengan 60 años o más, copia de identificación y acta de nacimiento que acredite la edad del contribuyente.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Tratándose de usuarios </w:t>
      </w:r>
      <w:proofErr w:type="gramStart"/>
      <w:r w:rsidRPr="006B7EB5">
        <w:rPr>
          <w:rFonts w:ascii="Arial" w:hAnsi="Arial" w:cs="Arial"/>
          <w:sz w:val="24"/>
          <w:szCs w:val="24"/>
        </w:rPr>
        <w:t>viudas</w:t>
      </w:r>
      <w:proofErr w:type="gramEnd"/>
      <w:r w:rsidRPr="006B7EB5">
        <w:rPr>
          <w:rFonts w:ascii="Arial" w:hAnsi="Arial" w:cs="Arial"/>
          <w:sz w:val="24"/>
          <w:szCs w:val="24"/>
        </w:rPr>
        <w:t xml:space="preserve"> y viudos, presentarán copia simple del acta de matrimonio y del acta de defunción del cónyuge.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Copia del recibo que acredite haber pagado el servicio del agua hasta el sexto bimestre del año </w:t>
      </w:r>
      <w:r>
        <w:rPr>
          <w:rFonts w:ascii="Arial" w:hAnsi="Arial" w:cs="Arial"/>
          <w:sz w:val="24"/>
          <w:szCs w:val="24"/>
        </w:rPr>
        <w:t>2017</w:t>
      </w:r>
      <w:r w:rsidRPr="006B7EB5">
        <w:rPr>
          <w:rFonts w:ascii="Arial" w:hAnsi="Arial" w:cs="Arial"/>
          <w:sz w:val="24"/>
          <w:szCs w:val="24"/>
        </w:rPr>
        <w:t xml:space="preserv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En caso de ser arrendatario, presentar copia del contrato donde se especifique la obligación de pagar las cuotas referentes al agua.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Este beneficio se aplicará a un solo inmueble.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los contribuyentes discapacitados, se le otorgará el beneficio siempre y cuando sufran una discapacidad del 50% o más atendiendo a lo dispuesto por el artículo 514 de la Ley Federal del Trabajo. Para tal efecto, la Hacienda Municipal practicará a través de la dependencia que ésta designe, examen médico para </w:t>
      </w:r>
      <w:r w:rsidRPr="006B7EB5">
        <w:rPr>
          <w:rFonts w:ascii="Arial" w:hAnsi="Arial" w:cs="Arial"/>
          <w:sz w:val="24"/>
          <w:szCs w:val="24"/>
        </w:rPr>
        <w:lastRenderedPageBreak/>
        <w:t xml:space="preserve">determinar el grado de discapacidad, el cual será gratuito, o bien bastará la presentación de un certificado que lo acredite expedido por una institución médica oficial.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XIV.- En los casos en que el usuario de los servicios de agua potable y alcantarillado, acredite el derecho a más de un beneficio, solo se le otorgará el de mayor cuantía.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DECIMA PRIMERA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Rastro</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60.- Las personas físicas o jurídicas que pretendan realizar la matanza de cualquier clase de animales para consumo humano, ya sea dentro del rastro municipal o fuera de él, deberán obtener la autorización correspondiente y pagar los derechos, conforme a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CUOTAS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la autorización de matanza de ganado: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el rastro municipal, por cabeza de ganado: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Vacuno: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Terneras: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$40.90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Porcinos: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w:t>
      </w:r>
      <w:proofErr w:type="spellStart"/>
      <w:r w:rsidRPr="006B7EB5">
        <w:rPr>
          <w:rFonts w:ascii="Arial" w:hAnsi="Arial" w:cs="Arial"/>
          <w:sz w:val="24"/>
          <w:szCs w:val="24"/>
        </w:rPr>
        <w:t>Ovicaprino</w:t>
      </w:r>
      <w:proofErr w:type="spellEnd"/>
      <w:r w:rsidRPr="006B7EB5">
        <w:rPr>
          <w:rFonts w:ascii="Arial" w:hAnsi="Arial" w:cs="Arial"/>
          <w:sz w:val="24"/>
          <w:szCs w:val="24"/>
        </w:rPr>
        <w:t xml:space="preserve"> y bec</w:t>
      </w:r>
      <w:r>
        <w:rPr>
          <w:rFonts w:ascii="Arial" w:hAnsi="Arial" w:cs="Arial"/>
          <w:sz w:val="24"/>
          <w:szCs w:val="24"/>
        </w:rPr>
        <w:t xml:space="preserve">erros de leche: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5.- Caballar, mular y asnal: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$15.33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b) En rastros concesionados a particulares, incluyendo establecimientos T.I.F., por cabeza de ganado, se cobrará el 50% de la tarifa señalada en el inciso 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Fuera del rastro municipal para consumo familiar, exclusivamente: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Ganado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$24.48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Ganado </w:t>
      </w:r>
      <w:proofErr w:type="spellStart"/>
      <w:r w:rsidRPr="006B7EB5">
        <w:rPr>
          <w:rFonts w:ascii="Arial" w:hAnsi="Arial" w:cs="Arial"/>
          <w:sz w:val="24"/>
          <w:szCs w:val="24"/>
        </w:rPr>
        <w:t>ovicaprino</w:t>
      </w:r>
      <w:proofErr w:type="spellEnd"/>
      <w:r w:rsidRPr="006B7EB5">
        <w:rPr>
          <w:rFonts w:ascii="Arial" w:hAnsi="Arial" w:cs="Arial"/>
          <w:sz w:val="24"/>
          <w:szCs w:val="24"/>
        </w:rPr>
        <w:t>, por</w:t>
      </w:r>
      <w:r>
        <w:rPr>
          <w:rFonts w:ascii="Arial" w:hAnsi="Arial" w:cs="Arial"/>
          <w:sz w:val="24"/>
          <w:szCs w:val="24"/>
        </w:rPr>
        <w:t xml:space="preserve"> cabeza: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$15.33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Por autorizar la salida de animales del rastro para envíos fuera del Municipio: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$5.84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Ganado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Ganado </w:t>
      </w:r>
      <w:proofErr w:type="spellStart"/>
      <w:r w:rsidRPr="006B7EB5">
        <w:rPr>
          <w:rFonts w:ascii="Arial" w:hAnsi="Arial" w:cs="Arial"/>
          <w:sz w:val="24"/>
          <w:szCs w:val="24"/>
        </w:rPr>
        <w:t>ovicaprino</w:t>
      </w:r>
      <w:proofErr w:type="spellEnd"/>
      <w:r w:rsidRPr="006B7EB5">
        <w:rPr>
          <w:rFonts w:ascii="Arial" w:hAnsi="Arial" w:cs="Arial"/>
          <w:sz w:val="24"/>
          <w:szCs w:val="24"/>
        </w:rPr>
        <w:t xml:space="preserve">,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Por autorizar la introducción de ganado al rastro, en horas extraordinarias: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Ganado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Sellado de inspección sanitaria: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Ganado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Ganado </w:t>
      </w:r>
      <w:proofErr w:type="spellStart"/>
      <w:r w:rsidRPr="006B7EB5">
        <w:rPr>
          <w:rFonts w:ascii="Arial" w:hAnsi="Arial" w:cs="Arial"/>
          <w:sz w:val="24"/>
          <w:szCs w:val="24"/>
        </w:rPr>
        <w:t>ovicaprino</w:t>
      </w:r>
      <w:proofErr w:type="spellEnd"/>
      <w:r w:rsidRPr="006B7EB5">
        <w:rPr>
          <w:rFonts w:ascii="Arial" w:hAnsi="Arial" w:cs="Arial"/>
          <w:sz w:val="24"/>
          <w:szCs w:val="24"/>
        </w:rPr>
        <w:t xml:space="preserve">,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De pieles que prove</w:t>
      </w:r>
      <w:r>
        <w:rPr>
          <w:rFonts w:ascii="Arial" w:hAnsi="Arial" w:cs="Arial"/>
          <w:sz w:val="24"/>
          <w:szCs w:val="24"/>
        </w:rPr>
        <w:t xml:space="preserve">ngan de otros Municipios: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De ganado vacuno,</w:t>
      </w:r>
      <w:r>
        <w:rPr>
          <w:rFonts w:ascii="Arial" w:hAnsi="Arial" w:cs="Arial"/>
          <w:sz w:val="24"/>
          <w:szCs w:val="24"/>
        </w:rPr>
        <w:t xml:space="preserve"> por kilogramo: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De ganado de otra clase</w:t>
      </w:r>
      <w:r>
        <w:rPr>
          <w:rFonts w:ascii="Arial" w:hAnsi="Arial" w:cs="Arial"/>
          <w:sz w:val="24"/>
          <w:szCs w:val="24"/>
        </w:rPr>
        <w:t xml:space="preserve">, por kilogramo: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Acarreo de carnes en camiones del Municipio: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cada res, dentro de la cabecera mu</w:t>
      </w:r>
      <w:r>
        <w:rPr>
          <w:rFonts w:ascii="Arial" w:hAnsi="Arial" w:cs="Arial"/>
          <w:sz w:val="24"/>
          <w:szCs w:val="24"/>
        </w:rPr>
        <w:t>nicipal:</w:t>
      </w:r>
      <w:r>
        <w:rPr>
          <w:rFonts w:ascii="Arial" w:hAnsi="Arial" w:cs="Arial"/>
          <w:sz w:val="24"/>
          <w:szCs w:val="24"/>
        </w:rPr>
        <w:tab/>
      </w:r>
      <w:r>
        <w:rPr>
          <w:rFonts w:ascii="Arial" w:hAnsi="Arial" w:cs="Arial"/>
          <w:sz w:val="24"/>
          <w:szCs w:val="24"/>
        </w:rPr>
        <w:tab/>
        <w:t>$5.11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cada res, f</w:t>
      </w:r>
      <w:r>
        <w:rPr>
          <w:rFonts w:ascii="Arial" w:hAnsi="Arial" w:cs="Arial"/>
          <w:sz w:val="24"/>
          <w:szCs w:val="24"/>
        </w:rPr>
        <w:t xml:space="preserve">uera de la cabecera municipal: </w:t>
      </w:r>
      <w:r>
        <w:rPr>
          <w:rFonts w:ascii="Arial" w:hAnsi="Arial" w:cs="Arial"/>
          <w:sz w:val="24"/>
          <w:szCs w:val="24"/>
        </w:rPr>
        <w:tab/>
      </w:r>
      <w:r>
        <w:rPr>
          <w:rFonts w:ascii="Arial" w:hAnsi="Arial" w:cs="Arial"/>
          <w:sz w:val="24"/>
          <w:szCs w:val="24"/>
        </w:rPr>
        <w:tab/>
        <w:t>$9.49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Por cada cuarto de </w:t>
      </w:r>
      <w:r>
        <w:rPr>
          <w:rFonts w:ascii="Arial" w:hAnsi="Arial" w:cs="Arial"/>
          <w:sz w:val="24"/>
          <w:szCs w:val="24"/>
        </w:rPr>
        <w:t xml:space="preserve">res o fracción: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Por cada cerdo, dent</w:t>
      </w:r>
      <w:r>
        <w:rPr>
          <w:rFonts w:ascii="Arial" w:hAnsi="Arial" w:cs="Arial"/>
          <w:sz w:val="24"/>
          <w:szCs w:val="24"/>
        </w:rPr>
        <w:t xml:space="preserve">ro de la cabecera municipal: </w:t>
      </w:r>
      <w:r>
        <w:rPr>
          <w:rFonts w:ascii="Arial" w:hAnsi="Arial" w:cs="Arial"/>
          <w:sz w:val="24"/>
          <w:szCs w:val="24"/>
        </w:rPr>
        <w:tab/>
      </w:r>
      <w:r>
        <w:rPr>
          <w:rFonts w:ascii="Arial" w:hAnsi="Arial" w:cs="Arial"/>
          <w:sz w:val="24"/>
          <w:szCs w:val="24"/>
        </w:rPr>
        <w:tab/>
        <w:t xml:space="preserve"> $5.11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Por cada cerdo, fuera de la cabecera</w:t>
      </w:r>
      <w:r>
        <w:rPr>
          <w:rFonts w:ascii="Arial" w:hAnsi="Arial" w:cs="Arial"/>
          <w:sz w:val="24"/>
          <w:szCs w:val="24"/>
        </w:rPr>
        <w:t xml:space="preserve"> municipal: </w:t>
      </w:r>
      <w:r>
        <w:rPr>
          <w:rFonts w:ascii="Arial" w:hAnsi="Arial" w:cs="Arial"/>
          <w:sz w:val="24"/>
          <w:szCs w:val="24"/>
        </w:rPr>
        <w:tab/>
      </w:r>
      <w:r>
        <w:rPr>
          <w:rFonts w:ascii="Arial" w:hAnsi="Arial" w:cs="Arial"/>
          <w:sz w:val="24"/>
          <w:szCs w:val="24"/>
        </w:rPr>
        <w:tab/>
        <w:t xml:space="preserve"> $10.22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f) Por cada fracción de cerdo: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g) Por cada cabra o borrego: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h) Por cada menudo: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varilla, por cada f</w:t>
      </w:r>
      <w:r>
        <w:rPr>
          <w:rFonts w:ascii="Arial" w:hAnsi="Arial" w:cs="Arial"/>
          <w:sz w:val="24"/>
          <w:szCs w:val="24"/>
        </w:rPr>
        <w:t xml:space="preserve">racción de res: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j) Por cada piel de res: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k) Por cada piel de cerdo: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 Por cada </w:t>
      </w:r>
      <w:r>
        <w:rPr>
          <w:rFonts w:ascii="Arial" w:hAnsi="Arial" w:cs="Arial"/>
          <w:sz w:val="24"/>
          <w:szCs w:val="24"/>
        </w:rPr>
        <w:t xml:space="preserve">piel de ganado cabrío: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m) Por cada kilogramo de cebo: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Por servicios que se presten en el interior del rastro municipal por personal pagado por el Ayuntamiento: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matanza de ganado: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$21.18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w:t>
      </w:r>
      <w:proofErr w:type="spellStart"/>
      <w:r w:rsidRPr="006B7EB5">
        <w:rPr>
          <w:rFonts w:ascii="Arial" w:hAnsi="Arial" w:cs="Arial"/>
          <w:sz w:val="24"/>
          <w:szCs w:val="24"/>
        </w:rPr>
        <w:t>Ovicaprino</w:t>
      </w:r>
      <w:proofErr w:type="spellEnd"/>
      <w:r w:rsidRPr="006B7EB5">
        <w:rPr>
          <w:rFonts w:ascii="Arial" w:hAnsi="Arial" w:cs="Arial"/>
          <w:sz w:val="24"/>
          <w:szCs w:val="24"/>
        </w:rPr>
        <w:t xml:space="preserve">,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$11.68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Por el uso de corrales, diariamente: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$4.38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Ganado porcino,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Embarque y salida </w:t>
      </w:r>
      <w:r>
        <w:rPr>
          <w:rFonts w:ascii="Arial" w:hAnsi="Arial" w:cs="Arial"/>
          <w:sz w:val="24"/>
          <w:szCs w:val="24"/>
        </w:rPr>
        <w:t xml:space="preserve">de ganado porcino, por cabeza: </w:t>
      </w:r>
      <w:r>
        <w:rPr>
          <w:rFonts w:ascii="Arial" w:hAnsi="Arial" w:cs="Arial"/>
          <w:sz w:val="24"/>
          <w:szCs w:val="24"/>
        </w:rPr>
        <w:tab/>
        <w:t>$2.92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Enmantado de canales</w:t>
      </w:r>
      <w:r>
        <w:rPr>
          <w:rFonts w:ascii="Arial" w:hAnsi="Arial" w:cs="Arial"/>
          <w:sz w:val="24"/>
          <w:szCs w:val="24"/>
        </w:rPr>
        <w:t xml:space="preserve"> de ganado vacuno, por cabeza: </w:t>
      </w:r>
      <w:r>
        <w:rPr>
          <w:rFonts w:ascii="Arial" w:hAnsi="Arial" w:cs="Arial"/>
          <w:sz w:val="24"/>
          <w:szCs w:val="24"/>
        </w:rPr>
        <w:tab/>
        <w:t>$2.19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Encierro de cerdos para el sacrificio en horas extraordinarias, además de la mano de obra</w:t>
      </w:r>
      <w:r>
        <w:rPr>
          <w:rFonts w:ascii="Arial" w:hAnsi="Arial" w:cs="Arial"/>
          <w:sz w:val="24"/>
          <w:szCs w:val="24"/>
        </w:rPr>
        <w:t xml:space="preserve"> correspondiente, por cabeza: </w:t>
      </w:r>
      <w:r>
        <w:rPr>
          <w:rFonts w:ascii="Arial" w:hAnsi="Arial" w:cs="Arial"/>
          <w:sz w:val="24"/>
          <w:szCs w:val="24"/>
        </w:rPr>
        <w:tab/>
      </w:r>
      <w:r>
        <w:rPr>
          <w:rFonts w:ascii="Arial" w:hAnsi="Arial" w:cs="Arial"/>
          <w:sz w:val="24"/>
          <w:szCs w:val="24"/>
        </w:rPr>
        <w:tab/>
        <w:t xml:space="preserve"> $3.65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Por refrigeración, cada veinticuatro horas: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Ganado vacuno, por cabeza: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$10.22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2.- Ganado porcino y </w:t>
      </w:r>
      <w:proofErr w:type="spellStart"/>
      <w:r w:rsidRPr="006B7EB5">
        <w:rPr>
          <w:rFonts w:ascii="Arial" w:hAnsi="Arial" w:cs="Arial"/>
          <w:sz w:val="24"/>
          <w:szCs w:val="24"/>
        </w:rPr>
        <w:t>ovicaprino</w:t>
      </w:r>
      <w:proofErr w:type="spellEnd"/>
      <w:r w:rsidRPr="006B7EB5">
        <w:rPr>
          <w:rFonts w:ascii="Arial" w:hAnsi="Arial" w:cs="Arial"/>
          <w:sz w:val="24"/>
          <w:szCs w:val="24"/>
        </w:rPr>
        <w:t>, por cabez</w:t>
      </w:r>
      <w:r>
        <w:rPr>
          <w:rFonts w:ascii="Arial" w:hAnsi="Arial" w:cs="Arial"/>
          <w:sz w:val="24"/>
          <w:szCs w:val="24"/>
        </w:rPr>
        <w:t xml:space="preserve">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f) Salado de pieles, aportando la</w:t>
      </w:r>
      <w:r>
        <w:rPr>
          <w:rFonts w:ascii="Arial" w:hAnsi="Arial" w:cs="Arial"/>
          <w:sz w:val="24"/>
          <w:szCs w:val="24"/>
        </w:rPr>
        <w:t xml:space="preserve"> sal el interesado, por piel: </w:t>
      </w:r>
      <w:r>
        <w:rPr>
          <w:rFonts w:ascii="Arial" w:hAnsi="Arial" w:cs="Arial"/>
          <w:sz w:val="24"/>
          <w:szCs w:val="24"/>
        </w:rPr>
        <w:tab/>
        <w:t xml:space="preserve"> $5.84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g) Fritura de</w:t>
      </w:r>
      <w:r>
        <w:rPr>
          <w:rFonts w:ascii="Arial" w:hAnsi="Arial" w:cs="Arial"/>
          <w:sz w:val="24"/>
          <w:szCs w:val="24"/>
        </w:rPr>
        <w:t xml:space="preserve"> ganado porcino, por cabeza: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comprobación de propiedad de ganado y permiso sanitario, se exigirá aun cuando aquel no se sacrifique en el rastro municipal.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 Venta de derechos obtenidos en el rastro: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Harina de sangre,</w:t>
      </w:r>
      <w:r>
        <w:rPr>
          <w:rFonts w:ascii="Arial" w:hAnsi="Arial" w:cs="Arial"/>
          <w:sz w:val="24"/>
          <w:szCs w:val="24"/>
        </w:rPr>
        <w:t xml:space="preserve"> por kilogramo: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Estiércol, por tonelada: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$17.52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VIII. Por autorización de matanza de aves, por cabeza: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Pavos: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Pollos y gallinas: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Este derecho se causará aún si la matanza se realiza en instalaciones particulares; 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IX. Por otros servicios que preste el rastro municipal, diferentes a los  señalados en esta s</w:t>
      </w:r>
      <w:r>
        <w:rPr>
          <w:rFonts w:ascii="Arial" w:hAnsi="Arial" w:cs="Arial"/>
          <w:sz w:val="24"/>
          <w:szCs w:val="24"/>
        </w:rPr>
        <w:t xml:space="preserve">ección, por cada uno,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Para los efectos de la aplicación de esta sección, los horarios de labores al igual que las cuotas correspondientes a los servicios, deberán estar a la vista del público.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De lunes a viernes, de 6:00 a 14:00 horas.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DÉCIMA SEGUNDA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Registro civil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61.- Las personas físicas que requieran los servicios del registro civil, en los términos de esta sección, pagarán previamente los derechos correspondientes, conforme a la siguiente: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En las oficinas, fuera del horario normal: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Matrimonios,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sidRPr="006B7EB5">
        <w:rPr>
          <w:rFonts w:ascii="Arial" w:hAnsi="Arial" w:cs="Arial"/>
          <w:sz w:val="24"/>
          <w:szCs w:val="24"/>
        </w:rPr>
        <w:t xml:space="preserve"> </w:t>
      </w:r>
      <w:r>
        <w:rPr>
          <w:rFonts w:ascii="Arial" w:hAnsi="Arial" w:cs="Arial"/>
          <w:sz w:val="24"/>
          <w:szCs w:val="24"/>
        </w:rPr>
        <w:t>$169.45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Los demás actos, </w:t>
      </w:r>
      <w:r>
        <w:rPr>
          <w:rFonts w:ascii="Arial" w:hAnsi="Arial" w:cs="Arial"/>
          <w:sz w:val="24"/>
          <w:szCs w:val="24"/>
        </w:rPr>
        <w:t xml:space="preserve">excepto defunciones, cada uno: </w:t>
      </w:r>
      <w:r>
        <w:rPr>
          <w:rFonts w:ascii="Arial" w:hAnsi="Arial" w:cs="Arial"/>
          <w:sz w:val="24"/>
          <w:szCs w:val="24"/>
        </w:rPr>
        <w:tab/>
        <w:t xml:space="preserve"> $83.26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A domicilio: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Matrimonios en hora</w:t>
      </w:r>
      <w:r>
        <w:rPr>
          <w:rFonts w:ascii="Arial" w:hAnsi="Arial" w:cs="Arial"/>
          <w:sz w:val="24"/>
          <w:szCs w:val="24"/>
        </w:rPr>
        <w:t>s hábiles de oficina, cada uno:</w:t>
      </w:r>
      <w:r w:rsidRPr="006B7EB5">
        <w:rPr>
          <w:rFonts w:ascii="Arial" w:hAnsi="Arial" w:cs="Arial"/>
          <w:sz w:val="24"/>
          <w:szCs w:val="24"/>
        </w:rPr>
        <w:tab/>
      </w:r>
      <w:r>
        <w:rPr>
          <w:rFonts w:ascii="Arial" w:hAnsi="Arial" w:cs="Arial"/>
          <w:sz w:val="24"/>
          <w:szCs w:val="24"/>
        </w:rPr>
        <w:t xml:space="preserve"> $221.31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Matrimonios en horas i</w:t>
      </w:r>
      <w:r>
        <w:rPr>
          <w:rFonts w:ascii="Arial" w:hAnsi="Arial" w:cs="Arial"/>
          <w:sz w:val="24"/>
          <w:szCs w:val="24"/>
        </w:rPr>
        <w:t xml:space="preserve">nhábiles de oficina, cada uno: </w:t>
      </w:r>
      <w:r>
        <w:rPr>
          <w:rFonts w:ascii="Arial" w:hAnsi="Arial" w:cs="Arial"/>
          <w:sz w:val="24"/>
          <w:szCs w:val="24"/>
        </w:rPr>
        <w:tab/>
        <w:t xml:space="preserve"> $272.43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Los demás actos en horas h</w:t>
      </w:r>
      <w:r>
        <w:rPr>
          <w:rFonts w:ascii="Arial" w:hAnsi="Arial" w:cs="Arial"/>
          <w:sz w:val="24"/>
          <w:szCs w:val="24"/>
        </w:rPr>
        <w:t xml:space="preserve">ábiles de oficina, cada uno: </w:t>
      </w:r>
      <w:r>
        <w:rPr>
          <w:rFonts w:ascii="Arial" w:hAnsi="Arial" w:cs="Arial"/>
          <w:sz w:val="24"/>
          <w:szCs w:val="24"/>
        </w:rPr>
        <w:tab/>
        <w:t xml:space="preserve"> $99.33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Los demás actos en horas i</w:t>
      </w:r>
      <w:r>
        <w:rPr>
          <w:rFonts w:ascii="Arial" w:hAnsi="Arial" w:cs="Arial"/>
          <w:sz w:val="24"/>
          <w:szCs w:val="24"/>
        </w:rPr>
        <w:t>nhábiles de oficina, cada uno</w:t>
      </w:r>
      <w:proofErr w:type="gramStart"/>
      <w:r>
        <w:rPr>
          <w:rFonts w:ascii="Arial" w:hAnsi="Arial" w:cs="Arial"/>
          <w:sz w:val="24"/>
          <w:szCs w:val="24"/>
        </w:rPr>
        <w:t>:  $</w:t>
      </w:r>
      <w:proofErr w:type="gramEnd"/>
      <w:r>
        <w:rPr>
          <w:rFonts w:ascii="Arial" w:hAnsi="Arial" w:cs="Arial"/>
          <w:sz w:val="24"/>
          <w:szCs w:val="24"/>
        </w:rPr>
        <w:t>163.60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Por las anotaciones e inserciones en las actas del registro civil se pagará el derecho conforme a las siguientes tarifas: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De cambio de régimen</w:t>
      </w:r>
      <w:r>
        <w:rPr>
          <w:rFonts w:ascii="Arial" w:hAnsi="Arial" w:cs="Arial"/>
          <w:sz w:val="24"/>
          <w:szCs w:val="24"/>
        </w:rPr>
        <w:t xml:space="preserve"> patrimonial en el matrimonio: </w:t>
      </w:r>
      <w:r>
        <w:rPr>
          <w:rFonts w:ascii="Arial" w:hAnsi="Arial" w:cs="Arial"/>
          <w:sz w:val="24"/>
          <w:szCs w:val="24"/>
        </w:rPr>
        <w:tab/>
        <w:t>$135.12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 actas de defunción de personas fallecidas fuera del Municipio o en el extranjero,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$304.57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Por las anotaciones marginales de reconocimiento y legitimación de descendientes, así como de matrimonios colectivos, no se pagarán los derechos a que se refiere esta sección.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Para los efectos de la aplicación de esta sección, los horarios de labores al igual que las cuotas correspondientes a los servicios, deberán estar a la vista del público.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De lunes a viernes de 9:00 a 15:00 horas.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DÉCIMA TERCERA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Certificaciones</w:t>
      </w:r>
    </w:p>
    <w:p w:rsidR="00DA389F" w:rsidRPr="006B7EB5" w:rsidRDefault="00DA389F" w:rsidP="00DA389F">
      <w:pPr>
        <w:spacing w:line="360" w:lineRule="auto"/>
        <w:jc w:val="center"/>
        <w:rPr>
          <w:rFonts w:ascii="Arial" w:hAnsi="Arial" w:cs="Arial"/>
          <w:b/>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62.- Los derechos por este concepto se causarán y pagarán, previamente, conforme a la siguiente: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Certificación de firmas,</w:t>
      </w:r>
      <w:r>
        <w:rPr>
          <w:rFonts w:ascii="Arial" w:hAnsi="Arial" w:cs="Arial"/>
          <w:sz w:val="24"/>
          <w:szCs w:val="24"/>
        </w:rPr>
        <w:t xml:space="preserve"> por cada una: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Expedición de certificados, certificaciones, constancias o copias certificadas inclusive de actos del registro civil, por cada uno: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Certificado de inexistencia de actas del registro civil, por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IV. Extractos de actas</w:t>
      </w:r>
      <w:r>
        <w:rPr>
          <w:rFonts w:ascii="Arial" w:hAnsi="Arial" w:cs="Arial"/>
          <w:sz w:val="24"/>
          <w:szCs w:val="24"/>
        </w:rPr>
        <w:t xml:space="preserve">, por cada uno: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$25.56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Cuando el certificado, copia o informe requiera búsqueda de antecedentes para dar cumplimiento a lo estipulado en la Ley de Transparencia, excepto copias del registro civil, por cada uno: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$40.17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Certificad</w:t>
      </w:r>
      <w:r>
        <w:rPr>
          <w:rFonts w:ascii="Arial" w:hAnsi="Arial" w:cs="Arial"/>
          <w:sz w:val="24"/>
          <w:szCs w:val="24"/>
        </w:rPr>
        <w:t xml:space="preserve">o de residencia, por cada uno: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VII. Certificados de residencia para fines de naturalización, regularización de situación migratoria y otros fines análogos, por cada uno: </w:t>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$187.71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VIII. Certificado médico prenupcial, por cada una de las partes: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$86.18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IX. Certificado expedido por el médico veterinario zootecnista, sobre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$260.75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 Certificado de alcoholemia en los servicios médicos municipales: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En horas hábiles, po</w:t>
      </w:r>
      <w:r>
        <w:rPr>
          <w:rFonts w:ascii="Arial" w:hAnsi="Arial" w:cs="Arial"/>
          <w:sz w:val="24"/>
          <w:szCs w:val="24"/>
        </w:rPr>
        <w:t xml:space="preserve">r cada uno, 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$63.54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horas </w:t>
      </w:r>
      <w:r>
        <w:rPr>
          <w:rFonts w:ascii="Arial" w:hAnsi="Arial" w:cs="Arial"/>
          <w:sz w:val="24"/>
          <w:szCs w:val="24"/>
        </w:rPr>
        <w:t xml:space="preserve">inhábiles, por cada uno,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$84.72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 Certificaciones de habitabilidad de inmuebles, según el tipo de construcción, por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Densidad alta: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Densidad media: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$43.09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Densidad baja: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Densidad mínima: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$52.58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XII. Expedición de planos por la dependencia municipal de obras públicas, por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$40.17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XIII. Certificac</w:t>
      </w:r>
      <w:r>
        <w:rPr>
          <w:rFonts w:ascii="Arial" w:hAnsi="Arial" w:cs="Arial"/>
          <w:sz w:val="24"/>
          <w:szCs w:val="24"/>
        </w:rPr>
        <w:t xml:space="preserve">ión de planos, por cada uno: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$37.98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XIV. Dictámenes de </w:t>
      </w:r>
      <w:r>
        <w:rPr>
          <w:rFonts w:ascii="Arial" w:hAnsi="Arial" w:cs="Arial"/>
          <w:sz w:val="24"/>
          <w:szCs w:val="24"/>
        </w:rPr>
        <w:t xml:space="preserve">usos y destinos: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$785.18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XV. Dictamen de trazo, </w:t>
      </w:r>
      <w:r>
        <w:rPr>
          <w:rFonts w:ascii="Arial" w:hAnsi="Arial" w:cs="Arial"/>
          <w:sz w:val="24"/>
          <w:szCs w:val="24"/>
        </w:rPr>
        <w:t xml:space="preserve">usos y destinos: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$1,578.39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XVI. Certificado de operatividad a los establecimientos destinados a presentar espectáculos públicos, de acuerdo a lo previsto en el artículo 9, fracción VI, de esta Ley, según su capacidad: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Hasta 250 personas: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$457.23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 más de 250 a </w:t>
      </w:r>
      <w:r>
        <w:rPr>
          <w:rFonts w:ascii="Arial" w:hAnsi="Arial" w:cs="Arial"/>
          <w:sz w:val="24"/>
          <w:szCs w:val="24"/>
        </w:rPr>
        <w:t>1,000 personas: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$536.84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De m</w:t>
      </w:r>
      <w:r>
        <w:rPr>
          <w:rFonts w:ascii="Arial" w:hAnsi="Arial" w:cs="Arial"/>
          <w:sz w:val="24"/>
          <w:szCs w:val="24"/>
        </w:rPr>
        <w:t>ás de 1,000 a 5,000 personas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$765.45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De más </w:t>
      </w:r>
      <w:r>
        <w:rPr>
          <w:rFonts w:ascii="Arial" w:hAnsi="Arial" w:cs="Arial"/>
          <w:sz w:val="24"/>
          <w:szCs w:val="24"/>
        </w:rPr>
        <w:t>de 5,000 a 10,000 personas: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$1,522.88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De más de 10,000 personas: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$2,893.94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XVII. Por copia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Acta de Nacimiento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Acta de Defunción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$8.76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Acta de Matrimonio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d) Expedición de actas del estado de Jalisco, excepto del municipio de Atengo: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$149.73</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Expedición de actas de cualquier entidad federativa mexicana, excluyendo Jalisco:</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$149.73</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XVIII. De la resolución administrativa derivada del trámite del divorcio administrativo: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$63.54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XIX. Los certificados o autorizaciones especiales no previstos en esta sección, causarán derechos, por cada uno: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$66.46</w:t>
      </w:r>
      <w:r w:rsidRPr="006B7EB5">
        <w:rPr>
          <w:rFonts w:ascii="Arial" w:hAnsi="Arial" w:cs="Arial"/>
          <w:sz w:val="24"/>
          <w:szCs w:val="24"/>
        </w:rPr>
        <w:t xml:space="preserve"> </w:t>
      </w:r>
    </w:p>
    <w:p w:rsidR="00DA389F" w:rsidRDefault="00DA389F" w:rsidP="00DA389F">
      <w:pPr>
        <w:spacing w:line="360" w:lineRule="auto"/>
        <w:rPr>
          <w:rFonts w:ascii="Arial" w:hAnsi="Arial" w:cs="Arial"/>
          <w:sz w:val="24"/>
          <w:szCs w:val="24"/>
        </w:rPr>
      </w:pPr>
    </w:p>
    <w:p w:rsidR="002D27B3" w:rsidRDefault="002D27B3" w:rsidP="00DA389F">
      <w:pPr>
        <w:spacing w:line="360" w:lineRule="auto"/>
        <w:rPr>
          <w:rFonts w:ascii="Arial" w:hAnsi="Arial" w:cs="Arial"/>
          <w:sz w:val="24"/>
          <w:szCs w:val="24"/>
        </w:rPr>
      </w:pPr>
      <w:r w:rsidRPr="002D27B3">
        <w:rPr>
          <w:rFonts w:ascii="Arial" w:hAnsi="Arial" w:cs="Arial"/>
          <w:sz w:val="24"/>
          <w:szCs w:val="24"/>
          <w:highlight w:val="green"/>
        </w:rPr>
        <w:t>XX. Expedición de carta de origen, por parte del Secretario de Ayuntamiento, la cual tiene por objeto acreditar la autenticidad del origen del ciudadano mexicano el extranjero carente de alguna identificación oficial con fotografí</w:t>
      </w:r>
      <w:r w:rsidR="00907CAB">
        <w:rPr>
          <w:rFonts w:ascii="Arial" w:hAnsi="Arial" w:cs="Arial"/>
          <w:sz w:val="24"/>
          <w:szCs w:val="24"/>
          <w:highlight w:val="green"/>
        </w:rPr>
        <w:t>a, conforme a lo dispuesto en los</w:t>
      </w:r>
      <w:r w:rsidRPr="002D27B3">
        <w:rPr>
          <w:rFonts w:ascii="Arial" w:hAnsi="Arial" w:cs="Arial"/>
          <w:sz w:val="24"/>
          <w:szCs w:val="24"/>
          <w:highlight w:val="green"/>
        </w:rPr>
        <w:t xml:space="preserve"> artículo</w:t>
      </w:r>
      <w:r w:rsidR="00907CAB">
        <w:rPr>
          <w:rFonts w:ascii="Arial" w:hAnsi="Arial" w:cs="Arial"/>
          <w:sz w:val="24"/>
          <w:szCs w:val="24"/>
          <w:highlight w:val="green"/>
        </w:rPr>
        <w:t>s 63 y</w:t>
      </w:r>
      <w:r w:rsidRPr="002D27B3">
        <w:rPr>
          <w:rFonts w:ascii="Arial" w:hAnsi="Arial" w:cs="Arial"/>
          <w:sz w:val="24"/>
          <w:szCs w:val="24"/>
          <w:highlight w:val="green"/>
        </w:rPr>
        <w:t xml:space="preserve"> 63 bis, de la Ley del Gobierno y la Administración Pública Municipal del Estado de Jalisco; por cada uno: </w:t>
      </w:r>
      <w:r w:rsidRPr="002D27B3">
        <w:rPr>
          <w:rFonts w:ascii="Arial" w:hAnsi="Arial" w:cs="Arial"/>
          <w:sz w:val="24"/>
          <w:szCs w:val="24"/>
          <w:highlight w:val="green"/>
        </w:rPr>
        <w:tab/>
      </w:r>
      <w:r w:rsidRPr="002D27B3">
        <w:rPr>
          <w:rFonts w:ascii="Arial" w:hAnsi="Arial" w:cs="Arial"/>
          <w:sz w:val="24"/>
          <w:szCs w:val="24"/>
          <w:highlight w:val="green"/>
        </w:rPr>
        <w:tab/>
        <w:t>$80.00</w:t>
      </w:r>
    </w:p>
    <w:p w:rsidR="002D27B3" w:rsidRPr="006B7EB5" w:rsidRDefault="002D27B3"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Los documentos a que alude el presente artículo se entregarán en un plazo de 3 días contados a partir del día siguiente al de la fecha de recepción de la solicitud acompañada del recibo de pago correspondiente.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petición del intere</w:t>
      </w:r>
      <w:r>
        <w:rPr>
          <w:rFonts w:ascii="Arial" w:hAnsi="Arial" w:cs="Arial"/>
          <w:sz w:val="24"/>
          <w:szCs w:val="24"/>
        </w:rPr>
        <w:t>sado, dichos documentos se entre</w:t>
      </w:r>
      <w:r w:rsidRPr="006B7EB5">
        <w:rPr>
          <w:rFonts w:ascii="Arial" w:hAnsi="Arial" w:cs="Arial"/>
          <w:sz w:val="24"/>
          <w:szCs w:val="24"/>
        </w:rPr>
        <w:t xml:space="preserve">garán en un plazo no mayor de 24 horas, cobrándose el doble de la cuota correspondiente.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DÉCIMA CUARTA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lastRenderedPageBreak/>
        <w:t>Servicios de Catastro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63.- Las personas físicas o jurídicas que requieran de los servicios de la dirección o área de catastro que en esta sección se enumeran, pagarán los derechos correspondientes conforme a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Copia de planos: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De manzana, po</w:t>
      </w:r>
      <w:r>
        <w:rPr>
          <w:rFonts w:ascii="Arial" w:hAnsi="Arial" w:cs="Arial"/>
          <w:sz w:val="24"/>
          <w:szCs w:val="24"/>
        </w:rPr>
        <w:t xml:space="preserve">r cada lámina: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$102.98</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Plano general de población o de zona catastral, por cada lámina: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$75.96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De plano o fotografí</w:t>
      </w:r>
      <w:r>
        <w:rPr>
          <w:rFonts w:ascii="Arial" w:hAnsi="Arial" w:cs="Arial"/>
          <w:sz w:val="24"/>
          <w:szCs w:val="24"/>
        </w:rPr>
        <w:t xml:space="preserve">a de orto foto: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$181.86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Juego de planos, que contienen las tablas de valores unitarios de terrenos y construcciones de las localidades que comprendan el Municipio: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$396.60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Cuando a los servicios a que se refieren estos incisos se soliciten en papel denominado maduro, se cobrarán además de las cuotas previstas: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$78.88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Certificaciones catastrales: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Certificado de inscripción de propie</w:t>
      </w:r>
      <w:r>
        <w:rPr>
          <w:rFonts w:ascii="Arial" w:hAnsi="Arial" w:cs="Arial"/>
          <w:sz w:val="24"/>
          <w:szCs w:val="24"/>
        </w:rPr>
        <w:t xml:space="preserve">dad, por cada predio: </w:t>
      </w:r>
      <w:r>
        <w:rPr>
          <w:rFonts w:ascii="Arial" w:hAnsi="Arial" w:cs="Arial"/>
          <w:sz w:val="24"/>
          <w:szCs w:val="24"/>
        </w:rPr>
        <w:tab/>
        <w:t xml:space="preserve"> $78.88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Si además se solicita historial, se cobrará por cada búsqueda de antecedentes adicionales: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Certificado de </w:t>
      </w:r>
      <w:r>
        <w:rPr>
          <w:rFonts w:ascii="Arial" w:hAnsi="Arial" w:cs="Arial"/>
          <w:sz w:val="24"/>
          <w:szCs w:val="24"/>
        </w:rPr>
        <w:t xml:space="preserve">no-inscripción de propiedad: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Por certificación en copias, por cada </w:t>
      </w:r>
      <w:r>
        <w:rPr>
          <w:rFonts w:ascii="Arial" w:hAnsi="Arial" w:cs="Arial"/>
          <w:sz w:val="24"/>
          <w:szCs w:val="24"/>
        </w:rPr>
        <w:t xml:space="preserve">hoja: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Por certificación en planos: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$78.88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los pensionados, jubilados, discapacitados y los que obtengan algún crédito del INFONAVIT, o de la Dirección de Pensiones del Estado, que soliciten los servicios señalados en esta fracción serán beneficiados con el 50% de reducción de los d</w:t>
      </w:r>
      <w:r>
        <w:rPr>
          <w:rFonts w:ascii="Arial" w:hAnsi="Arial" w:cs="Arial"/>
          <w:sz w:val="24"/>
          <w:szCs w:val="24"/>
        </w:rPr>
        <w:t xml:space="preserve">erechos correspondientes: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Informes.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Informes c</w:t>
      </w:r>
      <w:r>
        <w:rPr>
          <w:rFonts w:ascii="Arial" w:hAnsi="Arial" w:cs="Arial"/>
          <w:sz w:val="24"/>
          <w:szCs w:val="24"/>
        </w:rPr>
        <w:t xml:space="preserve">atastrales, por cada predio: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$37.98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Expedición de fotocopias del microfilme, por cada hoja simple: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$37.98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Informes catastrales, por d</w:t>
      </w:r>
      <w:r>
        <w:rPr>
          <w:rFonts w:ascii="Arial" w:hAnsi="Arial" w:cs="Arial"/>
          <w:sz w:val="24"/>
          <w:szCs w:val="24"/>
        </w:rPr>
        <w:t>atos técnicos, por cada predio: $78.88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Deslindes catastrales: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la expedición de deslindes de predios urbanos, con base en planos catastrales existentes: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De 1 a 1,000 me</w:t>
      </w:r>
      <w:r>
        <w:rPr>
          <w:rFonts w:ascii="Arial" w:hAnsi="Arial" w:cs="Arial"/>
          <w:sz w:val="24"/>
          <w:szCs w:val="24"/>
        </w:rPr>
        <w:t xml:space="preserve">tros cuadrados: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$106.63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De 1,000 metros cuadrados en adelante se cobrará la cantidad anterior, más por cada 100 metros cu</w:t>
      </w:r>
      <w:r>
        <w:rPr>
          <w:rFonts w:ascii="Arial" w:hAnsi="Arial" w:cs="Arial"/>
          <w:sz w:val="24"/>
          <w:szCs w:val="24"/>
        </w:rPr>
        <w:t xml:space="preserve">adrados o fracción excedente: </w:t>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Por la revisión de deslindes de predios rústicos: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De 1 a 10,000 met</w:t>
      </w:r>
      <w:r>
        <w:rPr>
          <w:rFonts w:ascii="Arial" w:hAnsi="Arial" w:cs="Arial"/>
          <w:sz w:val="24"/>
          <w:szCs w:val="24"/>
        </w:rPr>
        <w:t xml:space="preserve">ros cuadrados: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$180.40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De más de 10,000 </w:t>
      </w:r>
      <w:r>
        <w:rPr>
          <w:rFonts w:ascii="Arial" w:hAnsi="Arial" w:cs="Arial"/>
          <w:sz w:val="24"/>
          <w:szCs w:val="24"/>
        </w:rPr>
        <w:t xml:space="preserve">hasta 50,000 metros cuadrados: </w:t>
      </w:r>
      <w:r>
        <w:rPr>
          <w:rFonts w:ascii="Arial" w:hAnsi="Arial" w:cs="Arial"/>
          <w:sz w:val="24"/>
          <w:szCs w:val="24"/>
        </w:rPr>
        <w:tab/>
        <w:t xml:space="preserve"> $281.20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De más de 50,000 h</w:t>
      </w:r>
      <w:r>
        <w:rPr>
          <w:rFonts w:ascii="Arial" w:hAnsi="Arial" w:cs="Arial"/>
          <w:sz w:val="24"/>
          <w:szCs w:val="24"/>
        </w:rPr>
        <w:t xml:space="preserve">asta 100,000 metros cuadrados: </w:t>
      </w:r>
      <w:r>
        <w:rPr>
          <w:rFonts w:ascii="Arial" w:hAnsi="Arial" w:cs="Arial"/>
          <w:sz w:val="24"/>
          <w:szCs w:val="24"/>
        </w:rPr>
        <w:tab/>
        <w:t xml:space="preserve"> $351.32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De más de 100,000</w:t>
      </w:r>
      <w:r>
        <w:rPr>
          <w:rFonts w:ascii="Arial" w:hAnsi="Arial" w:cs="Arial"/>
          <w:sz w:val="24"/>
          <w:szCs w:val="24"/>
        </w:rPr>
        <w:t xml:space="preserve"> metros cuadrados en adelante: </w:t>
      </w:r>
      <w:r>
        <w:rPr>
          <w:rFonts w:ascii="Arial" w:hAnsi="Arial" w:cs="Arial"/>
          <w:sz w:val="24"/>
          <w:szCs w:val="24"/>
        </w:rPr>
        <w:tab/>
        <w:t xml:space="preserve"> $454.30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Por la práctica de deslindes catastrales realizados por el área de catastro en predios rústicos, se cobrará el importe correspondiente a 20 veces la tarifa anterior, más en su caso, los gastos correspondientes a viáticos del personal técnico que deberá realizar estos trabajos.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Por cada dictamen de valor practica</w:t>
      </w:r>
      <w:r>
        <w:rPr>
          <w:rFonts w:ascii="Arial" w:hAnsi="Arial" w:cs="Arial"/>
          <w:sz w:val="24"/>
          <w:szCs w:val="24"/>
        </w:rPr>
        <w:t xml:space="preserve">do por el área de catastro: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Hasta $30,000 de valor: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$349.86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De $30,000.01 a $1'000,000.00 se cobrará la cantidad del inciso anterior, más el 2 al millar sobre el excedente a $30,000.00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De $1'000,000.01 a $5'000,000.00 se cobrará la cantidad del inciso anterior más el 1.6 al millar sobre el </w:t>
      </w:r>
      <w:r>
        <w:rPr>
          <w:rFonts w:ascii="Arial" w:hAnsi="Arial" w:cs="Arial"/>
          <w:sz w:val="24"/>
          <w:szCs w:val="24"/>
        </w:rPr>
        <w:t xml:space="preserve">excedente a $1'000,000.00.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De $5'000,000.01 en adelante se cobrará la cantidad del inciso anterior más el 0.8 al millar sobre el excedente a $5'000,000.00.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Por la revisión y autorización del área de catastro, de cada avalúo practicado por otras instituciones o valuadores independientes autorizados por el área de catastro: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$108.09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Estos documentos se entregarán en un plazo máximo de 3 días, contados a partir del día siguiente de recepción de la solicitud, acompañada del recibo de pago correspondiente.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solicitud del interesado, dichos documentos se entregarán en un plazo no mayor a 36 horas, cobrándose en este caso el doble de la cuota correspondiente.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 No se causará el pago de derechos por servicios Catastrales: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Cuando las certificaciones, copias certificadas o informes se expidan por las autoridades, siempre y cuando no sean a petición de parte;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Las que estén destinadas a exhibirse ante los Tribunales del Trabajo, los Penales o el Ministerio Público, cuando este actúe en el orden penal y se expidan para el juicio de amparo;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Las que tengan por objeto probar hechos relacionados con demandas de indemnización civil provenientes de delito;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Las que se expidan para juicios de alimentos, cuando sean solicitados por el acreedor alimentista; 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Cuando los servicios se deriven de actos, contratos de operaciones celebradas con la intervención de organismos públicos de seguridad social, o la Comisión para la Regularización de la Tenencia de la Tierra, la Federación, Estado o Municipios.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64. En los predios urbanos regularizados a través del procedimiento establecido en la Ley para Regularización y Titulación de Predios Urbanos en el Estado de Jalisco, en los que sea imposible recuperar el porcentaje de la superficie de áreas de cesión, de acuerdo con los porcentajes establecidos en el Código Urbano para el Estado de Jalisco, el Catastro Municipal podrá emitir un dictamen de valor con la finalidad de sustituir la obligación de aportar área</w:t>
      </w:r>
      <w:r>
        <w:rPr>
          <w:rFonts w:ascii="Arial" w:hAnsi="Arial" w:cs="Arial"/>
          <w:sz w:val="24"/>
          <w:szCs w:val="24"/>
        </w:rPr>
        <w:t>s de cesión para destinos.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El valor determinado por el Catastro Municipal tendrá el carácter de crédito fiscal y podrá contemplar una reducción de hasta el 90% del valor determinado. La reducción deberá de ser aprobada por mayoría absoluta del Ayuntamiento y se deberá de justificar con un estudio de la situación socioeconómica y de carencias sociales de los beneficiarios.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TERCERO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Otros derechos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ÚNICA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Derechos no especificados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65.- Los otros servicios que provengan de la autoridad municipal, que no contravengan las disposiciones del Convenio de Coordinación Fiscal en materia de derechos, y que no estén previstos en este título, se cobrarán según el costo del servicio que se preste, conforme a la siguiente: </w:t>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TARIFA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Servicios que se presten en horas hábiles, por cada uno,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$212.54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Servicios que se presten en horas inhábiles, por cada uno, de: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$329.41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Servicio de poda o tala de árboles.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Poda de árboles hasta de 10 metros de altura, por cada uno: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$654.43</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Poda de árboles de más de 10 metros de altura, por cada uno: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$1,183.97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c) Derribo de árboles de hasta 10 metros de altura, por cada uno: </w:t>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$1,102.17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Derribo de árboles de más de 10 metros de altura, por cada uno: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$1,839.14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Tratándose de poda o derribo de árboles ubicados en la vía pública, que representen un riesgo para la seguridad de la ciudadanía en su persona o bienes, así como para la infraestructura de los servicios públicos instalados, previo dictamen de la dependencia respectiva del Municipio, el servicio será gratuito.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Autorización a particulares para la poda o derribo de árboles, previo dictamen forestal de la dependencia respectiva del Municipio: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$223.50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Explotación de estacionamientos por parte del Municipio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Para los efectos de este artículo, se consideran como horas hábiles, las comprendidas de lunes a viernes, de 9:00 a 15:00 horas.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CAPITULO CUARTO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Accesorios de los derechos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66.- Los recargos se causarán por concepto de accesorios derivados por la falta de pago de los derechos señalados en este Título de Derechos, son los que se perciben por: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Los recargos se causarán conforme a lo establecido por la Ley de Hacienda Municipal del Estado de Jalisco, en vigor.</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Recargos;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Multas;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Intereses;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Gastos de ejecución;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 Indemnizaciones;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 Otros no especificados.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67.- Dichos conceptos son accesorios de los derechos y participan de la naturaleza de éstos.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68.- Multas derivadas del incumplimiento en la forma, fecha y términos, que establezcan las disposiciones fiscales, del pago de los derechos, siempre que no esté considerada otra sanción en las demás disposiciones establecidas en la presente Ley, sobre el crédito omitido, del: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De igual forma, la falta de pago de los derechos señalados en el artículo 33, fracción IV, de este ordenamiento, se sancionará de acuerdo con el Reglamento respectivo y con las cantidades que señale el Ayuntamiento, previo acuerdo de Ayuntamiento;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69.- La tasa de recargos por falta de pago oportuno de los créditos fiscales derivados por la falta de pago de los derechos señalados presente título, será del 1% mensual.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70.- Cuando se concedan plazos para cubrir créditos fiscales derivados por la falta de los derechos señalados en el presente título, la tasa de interés será </w:t>
      </w:r>
      <w:r w:rsidRPr="006B7EB5">
        <w:rPr>
          <w:rFonts w:ascii="Arial" w:hAnsi="Arial" w:cs="Arial"/>
          <w:sz w:val="24"/>
          <w:szCs w:val="24"/>
        </w:rPr>
        <w:lastRenderedPageBreak/>
        <w:t xml:space="preserve">el costo porcentual promedio (C.P.P.), del mes inmediato anterior, que determine el Banco de México.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71.- Los gastos de ejecución y de embargo derivados por la falta de pago de los derechos señalados en el presente título, se cubrirán a la Hacienda Municipal, conjuntamente con el crédito fiscal, conforme a las siguientes bases: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gastos de ejecución: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Por la notificación de requerimiento de pago de créditos fiscales, no cubiertos en los plazos establecidos: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Cuando se realicen en la cabecera municipal, el 5% sin que</w:t>
      </w:r>
      <w:r>
        <w:rPr>
          <w:rFonts w:ascii="Arial" w:hAnsi="Arial" w:cs="Arial"/>
          <w:sz w:val="24"/>
          <w:szCs w:val="24"/>
        </w:rPr>
        <w:t xml:space="preserve"> su importe sea menor a $73.04</w:t>
      </w:r>
      <w:r w:rsidRPr="006B7EB5">
        <w:rPr>
          <w:rFonts w:ascii="Arial" w:hAnsi="Arial" w:cs="Arial"/>
          <w:sz w:val="24"/>
          <w:szCs w:val="24"/>
        </w:rPr>
        <w:t xml:space="preserv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Cuando se realice fuera de la cabecera municipal el 8%, sin que</w:t>
      </w:r>
      <w:r>
        <w:rPr>
          <w:rFonts w:ascii="Arial" w:hAnsi="Arial" w:cs="Arial"/>
          <w:sz w:val="24"/>
          <w:szCs w:val="24"/>
        </w:rPr>
        <w:t xml:space="preserve"> su importe sea menor a una $73.04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Por gastos de embargo: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Las diligencias de embargo, así como las de remoción del deudor como depositario, que impliquen extracción de bienes: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Cuando se realicen en la cabecera municipal, el 5%; 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Cuando se realicen fuera de la cabecera municipal, el 8%.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Los demás gastos que sean erogados en el procedimiento, serán reembolsados al Ayuntamiento por los contribuyentes.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El cobro de honorarios conforme a las tarifas señaladas, en ningún caso, excederá de los siguientes límites: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a) Del importe de $2,191.20</w:t>
      </w:r>
      <w:r w:rsidRPr="006B7EB5">
        <w:rPr>
          <w:rFonts w:ascii="Arial" w:hAnsi="Arial" w:cs="Arial"/>
          <w:sz w:val="24"/>
          <w:szCs w:val="24"/>
        </w:rPr>
        <w:t xml:space="preserve">, por requerimientos no satisfechos dentro de los plazos legales, de cuyo posterior cumplimiento se derive el pago extemporáneo de prestaciones fiscales.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b) Del importe de $3,286.80</w:t>
      </w:r>
      <w:r w:rsidRPr="006B7EB5">
        <w:rPr>
          <w:rFonts w:ascii="Arial" w:hAnsi="Arial" w:cs="Arial"/>
          <w:sz w:val="24"/>
          <w:szCs w:val="24"/>
        </w:rPr>
        <w:t xml:space="preserve">, por diligencia de embargo y por las de remoción del deudor como depositario, que impliquen extracción de bienes.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Todos los gastos de ejecución serán a cargo del contribuyente, en ningún caso, podrán ser condonados total o parcialmente.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TÍTULO QUINTO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Productos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PRIMERO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los productos de tipo corriente</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PRIMERA</w:t>
      </w:r>
    </w:p>
    <w:p w:rsidR="00DA389F" w:rsidRPr="006B7EB5" w:rsidRDefault="00DA389F" w:rsidP="00DA389F">
      <w:pPr>
        <w:spacing w:line="360" w:lineRule="auto"/>
        <w:jc w:val="center"/>
        <w:rPr>
          <w:rFonts w:ascii="Arial" w:hAnsi="Arial" w:cs="Arial"/>
          <w:sz w:val="24"/>
          <w:szCs w:val="24"/>
        </w:rPr>
      </w:pPr>
      <w:r w:rsidRPr="006B7EB5">
        <w:rPr>
          <w:rFonts w:ascii="Arial" w:hAnsi="Arial" w:cs="Arial"/>
          <w:b/>
          <w:sz w:val="24"/>
          <w:szCs w:val="24"/>
        </w:rPr>
        <w:t>Del uso, goce, aprovechamiento o explotación de bienes de dominio privado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72.- Las personas físicas o jurídicas que tomen en arrendamiento o concesión toda clase de bienes propiedad del Municipio de dominio privado pagarán a éste las rentas respectivas, de conformidad con las siguientes: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Arrendamiento de locales en el interior de mercados de dominio privado, por metr</w:t>
      </w:r>
      <w:r>
        <w:rPr>
          <w:rFonts w:ascii="Arial" w:hAnsi="Arial" w:cs="Arial"/>
          <w:sz w:val="24"/>
          <w:szCs w:val="24"/>
        </w:rPr>
        <w:t xml:space="preserve">o cuadrado, mensualmente,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$75.96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Arrendamiento de locales exteriores en mercados de dominio privado, por me</w:t>
      </w:r>
      <w:r>
        <w:rPr>
          <w:rFonts w:ascii="Arial" w:hAnsi="Arial" w:cs="Arial"/>
          <w:sz w:val="24"/>
          <w:szCs w:val="24"/>
        </w:rPr>
        <w:t xml:space="preserve">tro cuadrado mensualmente,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$113.21</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III. Arrendamiento o concesión de excusados y baños públicos en bienes de dominio privado, por metro cuadrado, mensualmente, de: </w:t>
      </w:r>
      <w:r w:rsidRPr="006B7EB5">
        <w:rPr>
          <w:rFonts w:ascii="Arial" w:hAnsi="Arial" w:cs="Arial"/>
          <w:sz w:val="24"/>
          <w:szCs w:val="24"/>
        </w:rPr>
        <w:tab/>
      </w:r>
      <w:r w:rsidRPr="006B7EB5">
        <w:rPr>
          <w:rFonts w:ascii="Arial" w:hAnsi="Arial" w:cs="Arial"/>
          <w:sz w:val="24"/>
          <w:szCs w:val="24"/>
        </w:rPr>
        <w:tab/>
        <w:t xml:space="preserve"> </w:t>
      </w:r>
    </w:p>
    <w:p w:rsidR="00DA389F" w:rsidRPr="006B7EB5" w:rsidRDefault="00DA389F" w:rsidP="00DA389F">
      <w:pPr>
        <w:spacing w:line="360" w:lineRule="auto"/>
        <w:ind w:left="5664" w:firstLine="708"/>
        <w:rPr>
          <w:rFonts w:ascii="Arial" w:hAnsi="Arial" w:cs="Arial"/>
          <w:sz w:val="24"/>
          <w:szCs w:val="24"/>
        </w:rPr>
      </w:pPr>
      <w:r>
        <w:rPr>
          <w:rFonts w:ascii="Arial" w:hAnsi="Arial" w:cs="Arial"/>
          <w:sz w:val="24"/>
          <w:szCs w:val="24"/>
        </w:rPr>
        <w:t xml:space="preserve">  $57.70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Arrendamiento de inmuebles de dominio privado para anuncios eventuales, por metro cuadrado, d</w:t>
      </w:r>
      <w:r>
        <w:rPr>
          <w:rFonts w:ascii="Arial" w:hAnsi="Arial" w:cs="Arial"/>
          <w:sz w:val="24"/>
          <w:szCs w:val="24"/>
        </w:rPr>
        <w:t xml:space="preserve">iariamente, de:               </w:t>
      </w:r>
      <w:r>
        <w:rPr>
          <w:rFonts w:ascii="Arial" w:hAnsi="Arial" w:cs="Arial"/>
          <w:sz w:val="24"/>
          <w:szCs w:val="24"/>
        </w:rPr>
        <w:tab/>
        <w:t xml:space="preserve">  $5.11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Arrendamiento de inmuebles de dominio privado para anuncios permanentes, por metr</w:t>
      </w:r>
      <w:r>
        <w:rPr>
          <w:rFonts w:ascii="Arial" w:hAnsi="Arial" w:cs="Arial"/>
          <w:sz w:val="24"/>
          <w:szCs w:val="24"/>
        </w:rPr>
        <w:t xml:space="preserve">o cuadrado, mensualmente, de: </w:t>
      </w:r>
      <w:r>
        <w:rPr>
          <w:rFonts w:ascii="Arial" w:hAnsi="Arial" w:cs="Arial"/>
          <w:sz w:val="24"/>
          <w:szCs w:val="24"/>
        </w:rPr>
        <w:tab/>
        <w:t xml:space="preserve">  $29.21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73.- El importe de las rentas o de los ingresos por las concesiones de otros bienes muebles o inmuebles, propiedad del Municipio de dominio privado, no especificados en el artículo anterior, será fijado en los contratos respectivos, previo acuerdo del Ayuntamiento y en los términos del artículo 180 de la Ley de Hacienda Municipal del Estado de Jalisco.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74.- En los casos de traspaso de giros instalados en locales de propiedad municipal de dominio privado, el Ayuntamiento se reserva la facultad de autorizar éstos, mediante acuerdo del Ayuntamiento, y fijar los productos correspondientes o rescindir los convenios que, en lo particular celebren los interesados.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75.- El gasto de luz y fuerza motriz de los locales arrendados de dominio privado, será calculado de acuerdo con el consumo visible de cada uno, y se acumulará al importe del arrendamiento.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Artículo 76.- Las personas que hagan uso de bienes inmuebles propiedad del Municipio de dominio privado, pagarán los productos correspondie</w:t>
      </w:r>
      <w:r>
        <w:rPr>
          <w:rFonts w:ascii="Arial" w:hAnsi="Arial" w:cs="Arial"/>
          <w:sz w:val="24"/>
          <w:szCs w:val="24"/>
        </w:rPr>
        <w:t xml:space="preserve">ntes conforme a la siguiente: </w:t>
      </w:r>
      <w:r>
        <w:rPr>
          <w:rFonts w:ascii="Arial" w:hAnsi="Arial" w:cs="Arial"/>
          <w:sz w:val="24"/>
          <w:szCs w:val="24"/>
        </w:rPr>
        <w:tab/>
      </w:r>
    </w:p>
    <w:p w:rsidR="00DA389F" w:rsidRPr="006B7EB5" w:rsidRDefault="00DA389F" w:rsidP="00DA389F">
      <w:pPr>
        <w:spacing w:line="360" w:lineRule="auto"/>
        <w:ind w:left="6372"/>
        <w:rPr>
          <w:rFonts w:ascii="Arial" w:hAnsi="Arial" w:cs="Arial"/>
          <w:sz w:val="24"/>
          <w:szCs w:val="24"/>
        </w:rPr>
      </w:pPr>
      <w:r>
        <w:rPr>
          <w:rFonts w:ascii="Arial" w:hAnsi="Arial" w:cs="Arial"/>
          <w:sz w:val="24"/>
          <w:szCs w:val="24"/>
        </w:rPr>
        <w:t>TARIFA</w:t>
      </w:r>
      <w:r>
        <w:rPr>
          <w:rFonts w:ascii="Arial" w:hAnsi="Arial" w:cs="Arial"/>
          <w:sz w:val="24"/>
          <w:szCs w:val="24"/>
        </w:rPr>
        <w:tab/>
      </w:r>
      <w:r>
        <w:rPr>
          <w:rFonts w:ascii="Arial" w:hAnsi="Arial" w:cs="Arial"/>
          <w:sz w:val="24"/>
          <w:szCs w:val="24"/>
        </w:rPr>
        <w:tab/>
      </w: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I. Excusados y baños públicos en bienes de dominio privado, cada vez que se usen, excepto por niños menores de 12 años, los cuales quedan exentos: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Uso de corrales en bienes de dominio privado para guardar animales que transiten en la vía pública sin vigilancia de sus dueños, diariamente, por cada uno,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$66.46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77.- El importe de los productos de otros bienes muebles e inmuebles del Municipio no especificado en el artículo anterior, será fijado en los contratos respectivos, previa aprobación por el Ayuntamiento en los términos de los reglamentos </w:t>
      </w:r>
      <w:r>
        <w:rPr>
          <w:rFonts w:ascii="Arial" w:hAnsi="Arial" w:cs="Arial"/>
          <w:sz w:val="24"/>
          <w:szCs w:val="24"/>
        </w:rPr>
        <w:t xml:space="preserve">municipales respectivos.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78.- La explotación de los basureros será objeto de concesión bajo contrato que suscriba el Municipio, cumpliendo con los requisitos previstos en las disposiciones legales y reglamentarias aplicables.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SEGUNDA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Cementerios de dominio privado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79.- Las personas físicas o jurídicas que soliciten en uso a perpetuidad o uso temporal lotes en los cementerios municipales de dominio privado para la construcción de fosas, pagarán los productos correspondientes de </w:t>
      </w:r>
      <w:r>
        <w:rPr>
          <w:rFonts w:ascii="Arial" w:hAnsi="Arial" w:cs="Arial"/>
          <w:sz w:val="24"/>
          <w:szCs w:val="24"/>
        </w:rPr>
        <w:t xml:space="preserve">acuerdo a las siguientes: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w:t>
      </w:r>
      <w:r w:rsidRPr="006B7EB5">
        <w:rPr>
          <w:rFonts w:ascii="Arial" w:hAnsi="Arial" w:cs="Arial"/>
          <w:sz w:val="24"/>
          <w:szCs w:val="24"/>
        </w:rPr>
        <w:t>TARIFAS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Lotes en uso a perpetuidad, por metro cuadrado: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a) En primera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$194.28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segunda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$167.99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tercera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$97.14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Las personas físicas o jurídicas, que estén en uso a perpetuidad de fosas en los cementerios municipales de dominio privado, que decidan traspasar el mismo, pagarán la cuota equivalentes que, por uso temporal, correspondan como se señala en la fracción II, de</w:t>
      </w:r>
      <w:r>
        <w:rPr>
          <w:rFonts w:ascii="Arial" w:hAnsi="Arial" w:cs="Arial"/>
          <w:sz w:val="24"/>
          <w:szCs w:val="24"/>
        </w:rPr>
        <w:t xml:space="preserve"> este artículo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Lotes en uso temporal por el término de cinco años, por metro cuadrado: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primera clase: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$79.61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En segunda clase: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$52.58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En tercera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$28.48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Para el mantenimiento de cada fosa en uso a perpetuidad o uso temporal se pagará anualmente por metro cuadrado de fosa: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En primera clase: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En segunda clase: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$35.78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En tercera clase: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 xml:space="preserve"> </w:t>
      </w:r>
      <w:r>
        <w:rPr>
          <w:rFonts w:ascii="Arial" w:hAnsi="Arial" w:cs="Arial"/>
          <w:sz w:val="24"/>
          <w:szCs w:val="24"/>
        </w:rPr>
        <w:t>$25.56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Para los efectos de la aplicación de esta sección, las dimensiones de las fosas en los cementerios municipales de dominio privado, serán las siguientes:</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1.- Las fosas para adultos tendrán un mínimo de 2.50 metros de largo por 1 metro de ancho; 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Las fosas para infantes, tendrán un mínimo de 1.20 metros de largo por 1 metro de ancho.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SECCIÓN TERCERA</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Productos diversos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80.- Los productos por concepto de formas impresas, calcomanías, credenciales y otros medios de identificación, se causarán y pagarán conforme a las tarifas señaladas a continuación: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Formas impresas: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Para solicitud de licencias, manifestación de giros, traspaso y cambios  de domicilio de los mis</w:t>
      </w:r>
      <w:r>
        <w:rPr>
          <w:rFonts w:ascii="Arial" w:hAnsi="Arial" w:cs="Arial"/>
          <w:sz w:val="24"/>
          <w:szCs w:val="24"/>
        </w:rPr>
        <w:t xml:space="preserve">mos, por juego: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Para la inscripción o modificación al registro de contribuyentes, por juego: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Para registro o certifica</w:t>
      </w:r>
      <w:r>
        <w:rPr>
          <w:rFonts w:ascii="Arial" w:hAnsi="Arial" w:cs="Arial"/>
          <w:sz w:val="24"/>
          <w:szCs w:val="24"/>
        </w:rPr>
        <w:t xml:space="preserve">ción de residencia, por juego: </w:t>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Para constancia de los actos del registro civil, por cada hoja: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Solicitud de aclaración de actas administrativas, del registro civil, cada una: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$45.28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f) Para reposición </w:t>
      </w:r>
      <w:r>
        <w:rPr>
          <w:rFonts w:ascii="Arial" w:hAnsi="Arial" w:cs="Arial"/>
          <w:sz w:val="24"/>
          <w:szCs w:val="24"/>
        </w:rPr>
        <w:t xml:space="preserve">de licencias, por cada forma: </w:t>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g) Para solicitud de matrimo</w:t>
      </w:r>
      <w:r>
        <w:rPr>
          <w:rFonts w:ascii="Arial" w:hAnsi="Arial" w:cs="Arial"/>
          <w:sz w:val="24"/>
          <w:szCs w:val="24"/>
        </w:rPr>
        <w:t>nio civil, por cada forma: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1.- Sociedad legal: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Sociedad conyugal: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$32.86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Con separación de bienes: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$45.28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h) Por las formas impresas derivadas del trámite del divorcio administrativo:</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Solicitud de divorcio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$70.11</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2.- Ratificación de solici</w:t>
      </w:r>
      <w:r>
        <w:rPr>
          <w:rFonts w:ascii="Arial" w:hAnsi="Arial" w:cs="Arial"/>
          <w:sz w:val="24"/>
          <w:szCs w:val="24"/>
        </w:rPr>
        <w:t>tud del divorcio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$72.30</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Acta de divorcio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$72.30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Para control y ejecución de obra civil (bitácora), cada forma: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Calcomanías, credenciales, placas, escudos y otros medios de identificación:</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Calcomanías, cada una: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t xml:space="preserve"> $12.41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Escudos, cada uno: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$8.76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Credenciales, cada una: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Números para ca</w:t>
      </w:r>
      <w:r>
        <w:rPr>
          <w:rFonts w:ascii="Arial" w:hAnsi="Arial" w:cs="Arial"/>
          <w:sz w:val="24"/>
          <w:szCs w:val="24"/>
        </w:rPr>
        <w:t xml:space="preserve">sa, cada pieza: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$3.65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En los demás casos similares no previstos en los incisos anteriores, cada uno,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$46.74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III. Las ediciones impresas por el Municipio, se pagarán según el precio que en las mismas se fije, previo</w:t>
      </w:r>
      <w:r>
        <w:rPr>
          <w:rFonts w:ascii="Arial" w:hAnsi="Arial" w:cs="Arial"/>
          <w:sz w:val="24"/>
          <w:szCs w:val="24"/>
        </w:rPr>
        <w:t xml:space="preserve"> acuerdo del Ayuntamiento.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Búsqu</w:t>
      </w:r>
      <w:r>
        <w:rPr>
          <w:rFonts w:ascii="Arial" w:hAnsi="Arial" w:cs="Arial"/>
          <w:sz w:val="24"/>
          <w:szCs w:val="24"/>
        </w:rPr>
        <w:t xml:space="preserve">eda de Licencias Municipales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$29.21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81.- Además de los productos señalados en el artículo anterior, el Municipio percibirá los productos de tipo corriente provenientes de los siguientes conceptos: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Depósitos de vehículos, por día: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Camiones: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$14.60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Automóviles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$10.95</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Motocicletas: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$10.95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Otros: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La explotación de tierra para fabricación de adobe, teja y ladrillo, en terrenos propiedad del Municipio, además de requerir licencia municipal, causará un porcentaje del 20% sobre e</w:t>
      </w:r>
      <w:r>
        <w:rPr>
          <w:rFonts w:ascii="Arial" w:hAnsi="Arial" w:cs="Arial"/>
          <w:sz w:val="24"/>
          <w:szCs w:val="24"/>
        </w:rPr>
        <w:t xml:space="preserve">l valor de la producción;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La extracción de cantera, piedra común y piedra para fabricación de cal, ajustándose a las Leyes de equilibrio ecológico, en terrenos propiedad del Municipio, además de requerir licencia municipal, causarán igualmente un porcentaje del 20% sobre el valor del producto extraído;</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Por la explotación de bienes municipales de dominio privado, concesión de servicios o por cualquier otro acto productivo de la administración, según los contratos celebrados por el Ayuntamiento;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En los casos de traspasos de giros instalados en locales de propiedad municipal, causarán productos de 6 a 12 meses de las rentas establecidas en el artículo 73 de esta Ley;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Por productos o utilidades de talleres y demás centros de trabajo que operen dentro de esta</w:t>
      </w:r>
      <w:r>
        <w:rPr>
          <w:rFonts w:ascii="Arial" w:hAnsi="Arial" w:cs="Arial"/>
          <w:sz w:val="24"/>
          <w:szCs w:val="24"/>
        </w:rPr>
        <w:t xml:space="preserve">blecimientos municipales;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La venta de esquilmos, productos de ap</w:t>
      </w:r>
      <w:r>
        <w:rPr>
          <w:rFonts w:ascii="Arial" w:hAnsi="Arial" w:cs="Arial"/>
          <w:sz w:val="24"/>
          <w:szCs w:val="24"/>
        </w:rPr>
        <w:t xml:space="preserve">arcería, desechos y basuras; </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 La venta de árboles, plantas, flores y demás productos procedentes de viveros y jardines públicos d</w:t>
      </w:r>
      <w:r>
        <w:rPr>
          <w:rFonts w:ascii="Arial" w:hAnsi="Arial" w:cs="Arial"/>
          <w:sz w:val="24"/>
          <w:szCs w:val="24"/>
        </w:rPr>
        <w:t xml:space="preserve">e jurisdicción municipal;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VIII. Renta de maquinaria para trabajo</w:t>
      </w:r>
      <w:r>
        <w:rPr>
          <w:rFonts w:ascii="Arial" w:hAnsi="Arial" w:cs="Arial"/>
          <w:sz w:val="24"/>
          <w:szCs w:val="24"/>
        </w:rPr>
        <w:t>s realizados a particulares:</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Ret</w:t>
      </w:r>
      <w:r>
        <w:rPr>
          <w:rFonts w:ascii="Arial" w:hAnsi="Arial" w:cs="Arial"/>
          <w:sz w:val="24"/>
          <w:szCs w:val="24"/>
        </w:rPr>
        <w:t xml:space="preserve">roexcavadora, por hora:    </w:t>
      </w:r>
      <w:r w:rsidRPr="006B7EB5">
        <w:rPr>
          <w:rFonts w:ascii="Arial" w:hAnsi="Arial" w:cs="Arial"/>
          <w:sz w:val="24"/>
          <w:szCs w:val="24"/>
        </w:rPr>
        <w:t xml:space="preserve">                 </w:t>
      </w:r>
      <w:r>
        <w:rPr>
          <w:rFonts w:ascii="Arial" w:hAnsi="Arial" w:cs="Arial"/>
          <w:sz w:val="24"/>
          <w:szCs w:val="24"/>
        </w:rPr>
        <w:t xml:space="preserve">                             $335.98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Moto-conformadora, por hora:              </w:t>
      </w:r>
      <w:r>
        <w:rPr>
          <w:rFonts w:ascii="Arial" w:hAnsi="Arial" w:cs="Arial"/>
          <w:sz w:val="24"/>
          <w:szCs w:val="24"/>
        </w:rPr>
        <w:t xml:space="preserve">                            </w:t>
      </w:r>
      <w:r>
        <w:rPr>
          <w:rFonts w:ascii="Arial" w:hAnsi="Arial" w:cs="Arial"/>
          <w:sz w:val="24"/>
          <w:szCs w:val="24"/>
        </w:rPr>
        <w:tab/>
        <w:t xml:space="preserve">   $505.43</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Volteo Internacional, por hora:</w:t>
      </w:r>
      <w:r>
        <w:rPr>
          <w:rFonts w:ascii="Arial" w:hAnsi="Arial" w:cs="Arial"/>
          <w:sz w:val="24"/>
          <w:szCs w:val="24"/>
        </w:rPr>
        <w:t xml:space="preserve">                                          </w:t>
      </w:r>
      <w:r>
        <w:rPr>
          <w:rFonts w:ascii="Arial" w:hAnsi="Arial" w:cs="Arial"/>
          <w:sz w:val="24"/>
          <w:szCs w:val="24"/>
        </w:rPr>
        <w:tab/>
        <w:t xml:space="preserve">   $153.38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Volteo mercedes,  por hora:  </w:t>
      </w:r>
      <w:r>
        <w:rPr>
          <w:rFonts w:ascii="Arial" w:hAnsi="Arial" w:cs="Arial"/>
          <w:sz w:val="24"/>
          <w:szCs w:val="24"/>
        </w:rPr>
        <w:t xml:space="preserve">                                         </w:t>
      </w:r>
      <w:r>
        <w:rPr>
          <w:rFonts w:ascii="Arial" w:hAnsi="Arial" w:cs="Arial"/>
          <w:sz w:val="24"/>
          <w:szCs w:val="24"/>
        </w:rPr>
        <w:tab/>
        <w:t xml:space="preserve">   $153.38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w:t>
      </w:r>
      <w:r>
        <w:rPr>
          <w:rFonts w:ascii="Arial" w:hAnsi="Arial" w:cs="Arial"/>
          <w:sz w:val="24"/>
          <w:szCs w:val="24"/>
        </w:rPr>
        <w:t xml:space="preserve"> Tractor Bulldozer, por hora: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$583.58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IX. Por proporcionar información en documentos o elementos técnicos a solicitudes de información en cumplimiento de la Ley de Transparencia e Información Pública del Estado de Jalisco: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Copia simple por cada hoja: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$3.00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Información en</w:t>
      </w:r>
      <w:r>
        <w:rPr>
          <w:rFonts w:ascii="Arial" w:hAnsi="Arial" w:cs="Arial"/>
          <w:sz w:val="24"/>
          <w:szCs w:val="24"/>
        </w:rPr>
        <w:t xml:space="preserve"> disco compacto, por cado uno: </w:t>
      </w:r>
      <w:r>
        <w:rPr>
          <w:rFonts w:ascii="Arial" w:hAnsi="Arial" w:cs="Arial"/>
          <w:sz w:val="24"/>
          <w:szCs w:val="24"/>
        </w:rPr>
        <w:tab/>
      </w:r>
      <w:r>
        <w:rPr>
          <w:rFonts w:ascii="Arial" w:hAnsi="Arial" w:cs="Arial"/>
          <w:sz w:val="24"/>
          <w:szCs w:val="24"/>
        </w:rPr>
        <w:tab/>
        <w:t xml:space="preserve"> $20.00</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Cuando la información se proporcione en formatos distintos a los mencionados en los incisos del a) al b) anteriores, el cobro de productos será el equivalente al precio de</w:t>
      </w:r>
      <w:r>
        <w:rPr>
          <w:rFonts w:ascii="Arial" w:hAnsi="Arial" w:cs="Arial"/>
          <w:sz w:val="24"/>
          <w:szCs w:val="24"/>
        </w:rPr>
        <w:t xml:space="preserve"> mercado que corresponda.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X. fotocopiado de copias simples al público en general cada hoja:</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Blanco/negro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A color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XI. Otros productos de tipo corriente no especificados en este título.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CAPITULO SEGUNDO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los productos de capital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82.- El Municipio percibirá los productos de capital provenientes de los siguientes conceptos: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La amortización del capital e intereses de créditos otorgados por el Municipio, de acuerdo con los contratos de su origen, o productos derivados de otras inversiones de capital;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Los bienes vacantes y mostrencos, y objetos decomisados, según remate legal;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Venta de bienes muebles, en los términos de la Ley de Hacienda Municipal del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Enajenación de bienes inmuebles, siempre y cuando se cumplan las disposiciones señaladas en la Ley del Gobierno y la Administración Pública Municipal del Estado de Jalisco y de la Ley de Hacienda Municipal del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Otros productos de capital no especificados.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TÍTULO SEXTO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lastRenderedPageBreak/>
        <w:t>Aprovechamientos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PRIMERO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Aprovechamientos de tipo corriente</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83.- Los ingresos por concepto de aprovechamientos son los que el Municipio percibe por: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Recargos;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Los recargos se causarán conforme a lo establecido por la Ley de Hacienda Municipal del Estado de Jalisco, en vigor.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Multas;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Gastos de Ejecución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Otros aprovechamientos de tipo corriente no especificados.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84.- La tasa de recargos por falta de pago oportuno de los créditos fiscales será del 1% mensual.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85.- Los gastos de ejecución y de embargo se cubrirán a la Hacienda Municipal, conjuntamente con el crédito fiscal, conforme a las siguientes bases: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gastos de ejecución: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Por la notificación de requerimiento de pago de créditos fiscales, no cubiertos en los plazos establecidos: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Cuando se realicen en la cabecera municipal, el 5% sin que</w:t>
      </w:r>
      <w:r>
        <w:rPr>
          <w:rFonts w:ascii="Arial" w:hAnsi="Arial" w:cs="Arial"/>
          <w:sz w:val="24"/>
          <w:szCs w:val="24"/>
        </w:rPr>
        <w:t xml:space="preserve"> su importe sea menor a $73.04</w:t>
      </w:r>
      <w:r w:rsidRPr="006B7EB5">
        <w:rPr>
          <w:rFonts w:ascii="Arial" w:hAnsi="Arial" w:cs="Arial"/>
          <w:sz w:val="24"/>
          <w:szCs w:val="24"/>
        </w:rPr>
        <w:t xml:space="preserv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b) Cuando se realice fuera de la cabecera municipal el 8%, sin que</w:t>
      </w:r>
      <w:r>
        <w:rPr>
          <w:rFonts w:ascii="Arial" w:hAnsi="Arial" w:cs="Arial"/>
          <w:sz w:val="24"/>
          <w:szCs w:val="24"/>
        </w:rPr>
        <w:t xml:space="preserve"> su importe sea menor a $73.04</w:t>
      </w:r>
      <w:r w:rsidRPr="006B7EB5">
        <w:rPr>
          <w:rFonts w:ascii="Arial" w:hAnsi="Arial" w:cs="Arial"/>
          <w:sz w:val="24"/>
          <w:szCs w:val="24"/>
        </w:rPr>
        <w:t xml:space="preserv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Por gastos de embargo: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Las diligencias de embargo, así como las de remoción del deudor como depositario, que impliq</w:t>
      </w:r>
      <w:r>
        <w:rPr>
          <w:rFonts w:ascii="Arial" w:hAnsi="Arial" w:cs="Arial"/>
          <w:sz w:val="24"/>
          <w:szCs w:val="24"/>
        </w:rPr>
        <w:t xml:space="preserve">uen extracción de bienes: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Cuando se realicen en la cabe</w:t>
      </w:r>
      <w:r>
        <w:rPr>
          <w:rFonts w:ascii="Arial" w:hAnsi="Arial" w:cs="Arial"/>
          <w:sz w:val="24"/>
          <w:szCs w:val="24"/>
        </w:rPr>
        <w:t xml:space="preserve">cera municipal, el; y </w:t>
      </w:r>
      <w:r>
        <w:rPr>
          <w:rFonts w:ascii="Arial" w:hAnsi="Arial" w:cs="Arial"/>
          <w:sz w:val="24"/>
          <w:szCs w:val="24"/>
        </w:rPr>
        <w:tab/>
      </w:r>
      <w:r>
        <w:rPr>
          <w:rFonts w:ascii="Arial" w:hAnsi="Arial" w:cs="Arial"/>
          <w:sz w:val="24"/>
          <w:szCs w:val="24"/>
        </w:rPr>
        <w:tab/>
        <w:t>5.00%</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Cuando se realicen fuera de la cabecera municipal, e</w:t>
      </w:r>
      <w:r>
        <w:rPr>
          <w:rFonts w:ascii="Arial" w:hAnsi="Arial" w:cs="Arial"/>
          <w:sz w:val="24"/>
          <w:szCs w:val="24"/>
        </w:rPr>
        <w:t>l.</w:t>
      </w:r>
      <w:r>
        <w:rPr>
          <w:rFonts w:ascii="Arial" w:hAnsi="Arial" w:cs="Arial"/>
          <w:sz w:val="24"/>
          <w:szCs w:val="24"/>
        </w:rPr>
        <w:tab/>
      </w:r>
      <w:r>
        <w:rPr>
          <w:rFonts w:ascii="Arial" w:hAnsi="Arial" w:cs="Arial"/>
          <w:sz w:val="24"/>
          <w:szCs w:val="24"/>
        </w:rPr>
        <w:tab/>
        <w:t>8.00%</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Los demás gastos que sean erogados en el procedimiento, serán reembolsados al Ayuntamien</w:t>
      </w:r>
      <w:r>
        <w:rPr>
          <w:rFonts w:ascii="Arial" w:hAnsi="Arial" w:cs="Arial"/>
          <w:sz w:val="24"/>
          <w:szCs w:val="24"/>
        </w:rPr>
        <w:t xml:space="preserve">to por los contribuyentes.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El cobro de honorarios conforme a las tarifas señaladas, en ningún caso, excederá de los siguientes límites: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a) Del importe de $2,191.20</w:t>
      </w:r>
      <w:r w:rsidRPr="006B7EB5">
        <w:rPr>
          <w:rFonts w:ascii="Arial" w:hAnsi="Arial" w:cs="Arial"/>
          <w:sz w:val="24"/>
          <w:szCs w:val="24"/>
        </w:rPr>
        <w:t xml:space="preserve">, por requerimientos no satisfechos dentro de los plazos legales, de cuyo posterior cumplimiento se derive el pago extemporáneo de prestaciones fiscales.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b) Del importe de $3,286.80</w:t>
      </w:r>
      <w:r w:rsidRPr="006B7EB5">
        <w:rPr>
          <w:rFonts w:ascii="Arial" w:hAnsi="Arial" w:cs="Arial"/>
          <w:sz w:val="24"/>
          <w:szCs w:val="24"/>
        </w:rPr>
        <w:t>, por diligencia de embargo y por las de remoción del deudor como depositario, que impl</w:t>
      </w:r>
      <w:r>
        <w:rPr>
          <w:rFonts w:ascii="Arial" w:hAnsi="Arial" w:cs="Arial"/>
          <w:sz w:val="24"/>
          <w:szCs w:val="24"/>
        </w:rPr>
        <w:t xml:space="preserve">iquen extracción de bienes.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Todos los gastos de ejecución serán a cargo del contribuyente, en ningún caso, podrán ser condona</w:t>
      </w:r>
      <w:r>
        <w:rPr>
          <w:rFonts w:ascii="Arial" w:hAnsi="Arial" w:cs="Arial"/>
          <w:sz w:val="24"/>
          <w:szCs w:val="24"/>
        </w:rPr>
        <w:t xml:space="preserve">dos total o parcialmente.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w:t>
      </w:r>
      <w:r>
        <w:rPr>
          <w:rFonts w:ascii="Arial" w:hAnsi="Arial" w:cs="Arial"/>
          <w:sz w:val="24"/>
          <w:szCs w:val="24"/>
        </w:rPr>
        <w:t xml:space="preserve">Código Fiscal del Estado.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86.- Las sanciones de orden administrativo, que en uso de sus facultades, imponga la autoridad municipal, serán aplicadas con sujeción a lo dispuesto en el artículo 197 de la Ley de Hacienda Municipal del Estado de Jalisco,</w:t>
      </w:r>
      <w:r>
        <w:rPr>
          <w:rFonts w:ascii="Arial" w:hAnsi="Arial" w:cs="Arial"/>
          <w:sz w:val="24"/>
          <w:szCs w:val="24"/>
        </w:rPr>
        <w:t xml:space="preserve"> conforme a la siguiente: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Pr>
          <w:rFonts w:ascii="Arial" w:hAnsi="Arial" w:cs="Arial"/>
          <w:sz w:val="24"/>
          <w:szCs w:val="24"/>
        </w:rPr>
        <w:lastRenderedPageBreak/>
        <w:t xml:space="preserve">                                                                                                       TARIFA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violación a la Ley, en materia de registro civil, se cobrará conforme a las disposiciones de la Ley del Registro C</w:t>
      </w:r>
      <w:r>
        <w:rPr>
          <w:rFonts w:ascii="Arial" w:hAnsi="Arial" w:cs="Arial"/>
          <w:sz w:val="24"/>
          <w:szCs w:val="24"/>
        </w:rPr>
        <w:t xml:space="preserve">ivil del Estado de Jalisco.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Son infracciones a las Leyes Fiscales y reglamentos Municipales, las que a continuación se indican, señalándose las</w:t>
      </w:r>
      <w:r>
        <w:rPr>
          <w:rFonts w:ascii="Arial" w:hAnsi="Arial" w:cs="Arial"/>
          <w:sz w:val="24"/>
          <w:szCs w:val="24"/>
        </w:rPr>
        <w:t xml:space="preserve"> sanciones correspondientes: </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falta de empadronamiento y li</w:t>
      </w:r>
      <w:r>
        <w:rPr>
          <w:rFonts w:ascii="Arial" w:hAnsi="Arial" w:cs="Arial"/>
          <w:sz w:val="24"/>
          <w:szCs w:val="24"/>
        </w:rPr>
        <w:t xml:space="preserve">cencia municipal o permiso.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En giros comerciales, industriales o de prestación de servicios, de:</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$338.90</w:t>
      </w:r>
      <w:r w:rsidRPr="006B7EB5">
        <w:rPr>
          <w:rFonts w:ascii="Arial" w:hAnsi="Arial" w:cs="Arial"/>
          <w:sz w:val="24"/>
          <w:szCs w:val="24"/>
        </w:rPr>
        <w:t xml:space="preserve"> </w:t>
      </w:r>
      <w:r>
        <w:rPr>
          <w:rFonts w:ascii="Arial" w:hAnsi="Arial" w:cs="Arial"/>
          <w:sz w:val="24"/>
          <w:szCs w:val="24"/>
        </w:rPr>
        <w:t>a $702.64</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2.- En giros que se produzcan, transformen, industrialicen, vendan o almacenen productos químicos, inflamables, corrosivos, tóxicos o explosivos,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$560.94 a $1,015.98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falta de refrendo de licencia municipal o permiso, de: </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$170.91</w:t>
      </w:r>
      <w:r w:rsidRPr="006B7EB5">
        <w:rPr>
          <w:rFonts w:ascii="Arial" w:hAnsi="Arial" w:cs="Arial"/>
          <w:sz w:val="24"/>
          <w:szCs w:val="24"/>
        </w:rPr>
        <w:t xml:space="preserve"> </w:t>
      </w:r>
      <w:r>
        <w:rPr>
          <w:rFonts w:ascii="Arial" w:hAnsi="Arial" w:cs="Arial"/>
          <w:sz w:val="24"/>
          <w:szCs w:val="24"/>
        </w:rPr>
        <w:t>a $717.25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la ocultación de giros gravados por la Ley, se sancionará con el importe,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$340.36</w:t>
      </w:r>
      <w:r w:rsidRPr="006B7EB5">
        <w:rPr>
          <w:rFonts w:ascii="Arial" w:hAnsi="Arial" w:cs="Arial"/>
          <w:sz w:val="24"/>
          <w:szCs w:val="24"/>
        </w:rPr>
        <w:t xml:space="preserve"> </w:t>
      </w:r>
      <w:r>
        <w:rPr>
          <w:rFonts w:ascii="Arial" w:hAnsi="Arial" w:cs="Arial"/>
          <w:sz w:val="24"/>
          <w:szCs w:val="24"/>
        </w:rPr>
        <w:t>a $907.15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Por no conservar a la vi</w:t>
      </w:r>
      <w:r>
        <w:rPr>
          <w:rFonts w:ascii="Arial" w:hAnsi="Arial" w:cs="Arial"/>
          <w:sz w:val="24"/>
          <w:szCs w:val="24"/>
        </w:rPr>
        <w:t>sta la licencia municipal, de:          $19.72</w:t>
      </w:r>
      <w:r w:rsidRPr="006B7EB5">
        <w:rPr>
          <w:rFonts w:ascii="Arial" w:hAnsi="Arial" w:cs="Arial"/>
          <w:sz w:val="24"/>
          <w:szCs w:val="24"/>
        </w:rPr>
        <w:t xml:space="preserve"> </w:t>
      </w:r>
      <w:r>
        <w:rPr>
          <w:rFonts w:ascii="Arial" w:hAnsi="Arial" w:cs="Arial"/>
          <w:sz w:val="24"/>
          <w:szCs w:val="24"/>
        </w:rPr>
        <w:t>a $51.85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Por no mostrar la documentación de los pagos ordinarios a la Hacienda Municipal a inspectores y</w:t>
      </w:r>
      <w:r>
        <w:rPr>
          <w:rFonts w:ascii="Arial" w:hAnsi="Arial" w:cs="Arial"/>
          <w:sz w:val="24"/>
          <w:szCs w:val="24"/>
        </w:rPr>
        <w:t xml:space="preserve"> supervisores acreditados, de:       $22.64</w:t>
      </w:r>
      <w:r w:rsidRPr="006B7EB5">
        <w:rPr>
          <w:rFonts w:ascii="Arial" w:hAnsi="Arial" w:cs="Arial"/>
          <w:sz w:val="24"/>
          <w:szCs w:val="24"/>
        </w:rPr>
        <w:t xml:space="preserve"> </w:t>
      </w:r>
      <w:r>
        <w:rPr>
          <w:rFonts w:ascii="Arial" w:hAnsi="Arial" w:cs="Arial"/>
          <w:sz w:val="24"/>
          <w:szCs w:val="24"/>
        </w:rPr>
        <w:t>a $51.85</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Por pagos extemporáneos por inspección y vigilancia, supervisión para obras y servicios de bienestar social, sobre el monto de los pagos omitidos, del: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10%</w:t>
      </w:r>
      <w:r>
        <w:rPr>
          <w:rFonts w:ascii="Arial" w:hAnsi="Arial" w:cs="Arial"/>
          <w:sz w:val="24"/>
          <w:szCs w:val="24"/>
        </w:rPr>
        <w:t xml:space="preserve"> a</w:t>
      </w:r>
      <w:r>
        <w:rPr>
          <w:rFonts w:ascii="Arial" w:hAnsi="Arial" w:cs="Arial"/>
          <w:sz w:val="24"/>
          <w:szCs w:val="24"/>
        </w:rPr>
        <w:tab/>
        <w:t xml:space="preserve"> 30%</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f) Por trabajar el giro después del horario autorizado, sin el permiso correspondiente,</w:t>
      </w:r>
      <w:r>
        <w:rPr>
          <w:rFonts w:ascii="Arial" w:hAnsi="Arial" w:cs="Arial"/>
          <w:sz w:val="24"/>
          <w:szCs w:val="24"/>
        </w:rPr>
        <w:t xml:space="preserve"> por cada hora o fracción, de: </w:t>
      </w:r>
      <w:r>
        <w:rPr>
          <w:rFonts w:ascii="Arial" w:hAnsi="Arial" w:cs="Arial"/>
          <w:sz w:val="24"/>
          <w:szCs w:val="24"/>
        </w:rPr>
        <w:tab/>
        <w:t xml:space="preserve">           $22.64</w:t>
      </w:r>
      <w:r w:rsidRPr="006B7EB5">
        <w:rPr>
          <w:rFonts w:ascii="Arial" w:hAnsi="Arial" w:cs="Arial"/>
          <w:sz w:val="24"/>
          <w:szCs w:val="24"/>
        </w:rPr>
        <w:t xml:space="preserve"> </w:t>
      </w:r>
      <w:r>
        <w:rPr>
          <w:rFonts w:ascii="Arial" w:hAnsi="Arial" w:cs="Arial"/>
          <w:sz w:val="24"/>
          <w:szCs w:val="24"/>
        </w:rPr>
        <w:t>a $43.82</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g) Por violar sellos, cuando un giro esté clausurado por la autoridad municipal,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$390.03</w:t>
      </w:r>
      <w:r w:rsidRPr="006B7EB5">
        <w:rPr>
          <w:rFonts w:ascii="Arial" w:hAnsi="Arial" w:cs="Arial"/>
          <w:sz w:val="24"/>
          <w:szCs w:val="24"/>
        </w:rPr>
        <w:t xml:space="preserve"> </w:t>
      </w:r>
      <w:r>
        <w:rPr>
          <w:rFonts w:ascii="Arial" w:hAnsi="Arial" w:cs="Arial"/>
          <w:sz w:val="24"/>
          <w:szCs w:val="24"/>
        </w:rPr>
        <w:t>a $890.35</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h) Por manifestar datos f</w:t>
      </w:r>
      <w:r>
        <w:rPr>
          <w:rFonts w:ascii="Arial" w:hAnsi="Arial" w:cs="Arial"/>
          <w:sz w:val="24"/>
          <w:szCs w:val="24"/>
        </w:rPr>
        <w:t>alsos del giro autorizado, de:         $18.99</w:t>
      </w:r>
      <w:r w:rsidRPr="006B7EB5">
        <w:rPr>
          <w:rFonts w:ascii="Arial" w:hAnsi="Arial" w:cs="Arial"/>
          <w:sz w:val="24"/>
          <w:szCs w:val="24"/>
        </w:rPr>
        <w:t xml:space="preserve"> </w:t>
      </w:r>
      <w:r>
        <w:rPr>
          <w:rFonts w:ascii="Arial" w:hAnsi="Arial" w:cs="Arial"/>
          <w:sz w:val="24"/>
          <w:szCs w:val="24"/>
        </w:rPr>
        <w:t>a $198.66</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el uso indebido de licencia (domicilio diferente o actividades no manifestadas o</w:t>
      </w:r>
      <w:r>
        <w:rPr>
          <w:rFonts w:ascii="Arial" w:hAnsi="Arial" w:cs="Arial"/>
          <w:sz w:val="24"/>
          <w:szCs w:val="24"/>
        </w:rPr>
        <w:t xml:space="preserve"> sin autorización),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$153.38</w:t>
      </w:r>
      <w:r w:rsidRPr="006B7EB5">
        <w:rPr>
          <w:rFonts w:ascii="Arial" w:hAnsi="Arial" w:cs="Arial"/>
          <w:sz w:val="24"/>
          <w:szCs w:val="24"/>
        </w:rPr>
        <w:t xml:space="preserve"> </w:t>
      </w:r>
      <w:r>
        <w:rPr>
          <w:rFonts w:ascii="Arial" w:hAnsi="Arial" w:cs="Arial"/>
          <w:sz w:val="24"/>
          <w:szCs w:val="24"/>
        </w:rPr>
        <w:t>a $243.22</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j) Por impedir que personal autorizado de la administración municipal realice labores de inspección y vigilancia, así como de supervisión fiscal,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$153.38</w:t>
      </w:r>
      <w:r w:rsidRPr="006B7EB5">
        <w:rPr>
          <w:rFonts w:ascii="Arial" w:hAnsi="Arial" w:cs="Arial"/>
          <w:sz w:val="24"/>
          <w:szCs w:val="24"/>
        </w:rPr>
        <w:t xml:space="preserve"> </w:t>
      </w:r>
      <w:r>
        <w:rPr>
          <w:rFonts w:ascii="Arial" w:hAnsi="Arial" w:cs="Arial"/>
          <w:sz w:val="24"/>
          <w:szCs w:val="24"/>
        </w:rPr>
        <w:t>a $254.17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k) Por pagar los créditos fiscales con documentos incobrables, se aplicará, la indemnización que marca la Ley General de Títulos y Operaciones de Crédito, en sus artículos relativos.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 Por presentar los avisos de baja o clausura del establecimiento o actividad, fuera del término legalmente establecido para el efecto,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$16.79</w:t>
      </w:r>
      <w:r w:rsidRPr="006B7EB5">
        <w:rPr>
          <w:rFonts w:ascii="Arial" w:hAnsi="Arial" w:cs="Arial"/>
          <w:sz w:val="24"/>
          <w:szCs w:val="24"/>
        </w:rPr>
        <w:t xml:space="preserve"> </w:t>
      </w:r>
      <w:r>
        <w:rPr>
          <w:rFonts w:ascii="Arial" w:hAnsi="Arial" w:cs="Arial"/>
          <w:sz w:val="24"/>
          <w:szCs w:val="24"/>
        </w:rPr>
        <w:t>a $55.51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III. Violaciones con relación a la matanza de ganado y rastro: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la matanza clandestina de ganado, además de cubrir los derechos respectivos, por cabeza: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$292.89</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vender carne no apta para el consumo humano además del decomiso co</w:t>
      </w:r>
      <w:r>
        <w:rPr>
          <w:rFonts w:ascii="Arial" w:hAnsi="Arial" w:cs="Arial"/>
          <w:sz w:val="24"/>
          <w:szCs w:val="24"/>
        </w:rPr>
        <w:t xml:space="preserve">rrespondiente una multa, de: </w:t>
      </w:r>
      <w:r>
        <w:rPr>
          <w:rFonts w:ascii="Arial" w:hAnsi="Arial" w:cs="Arial"/>
          <w:sz w:val="24"/>
          <w:szCs w:val="24"/>
        </w:rPr>
        <w:tab/>
      </w:r>
      <w:r>
        <w:rPr>
          <w:rFonts w:ascii="Arial" w:hAnsi="Arial" w:cs="Arial"/>
          <w:sz w:val="24"/>
          <w:szCs w:val="24"/>
        </w:rPr>
        <w:tab/>
        <w:t xml:space="preserve">                         $401.72 a $1,027.67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Por matar más ganado del que se autorice en los permisos correspond</w:t>
      </w:r>
      <w:r>
        <w:rPr>
          <w:rFonts w:ascii="Arial" w:hAnsi="Arial" w:cs="Arial"/>
          <w:sz w:val="24"/>
          <w:szCs w:val="24"/>
        </w:rPr>
        <w:t xml:space="preserve">ientes, por cabeza,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$46.01</w:t>
      </w:r>
      <w:r w:rsidRPr="006B7EB5">
        <w:rPr>
          <w:rFonts w:ascii="Arial" w:hAnsi="Arial" w:cs="Arial"/>
          <w:sz w:val="24"/>
          <w:szCs w:val="24"/>
        </w:rPr>
        <w:t xml:space="preserve"> </w:t>
      </w:r>
      <w:r>
        <w:rPr>
          <w:rFonts w:ascii="Arial" w:hAnsi="Arial" w:cs="Arial"/>
          <w:sz w:val="24"/>
          <w:szCs w:val="24"/>
        </w:rPr>
        <w:t>a $235.18</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d) Por falta de resello, </w:t>
      </w:r>
      <w:r>
        <w:rPr>
          <w:rFonts w:ascii="Arial" w:hAnsi="Arial" w:cs="Arial"/>
          <w:sz w:val="24"/>
          <w:szCs w:val="24"/>
        </w:rPr>
        <w:t xml:space="preserve">por cabeza, 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$127.82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Por transportar carne </w:t>
      </w:r>
      <w:r>
        <w:rPr>
          <w:rFonts w:ascii="Arial" w:hAnsi="Arial" w:cs="Arial"/>
          <w:sz w:val="24"/>
          <w:szCs w:val="24"/>
        </w:rPr>
        <w:t>en condiciones insalubres, de: $95.68</w:t>
      </w:r>
      <w:r w:rsidRPr="006B7EB5">
        <w:rPr>
          <w:rFonts w:ascii="Arial" w:hAnsi="Arial" w:cs="Arial"/>
          <w:sz w:val="24"/>
          <w:szCs w:val="24"/>
        </w:rPr>
        <w:t xml:space="preserve"> </w:t>
      </w:r>
      <w:r>
        <w:rPr>
          <w:rFonts w:ascii="Arial" w:hAnsi="Arial" w:cs="Arial"/>
          <w:sz w:val="24"/>
          <w:szCs w:val="24"/>
        </w:rPr>
        <w:t>a $415.59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En caso de reincidencia, se cobrará el dob</w:t>
      </w:r>
      <w:r>
        <w:rPr>
          <w:rFonts w:ascii="Arial" w:hAnsi="Arial" w:cs="Arial"/>
          <w:sz w:val="24"/>
          <w:szCs w:val="24"/>
        </w:rPr>
        <w:t xml:space="preserve">le y se decomisará la carne; </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f) Por carecer de documentación que acredite la procedencia y propiedad del ganado</w:t>
      </w:r>
      <w:r>
        <w:rPr>
          <w:rFonts w:ascii="Arial" w:hAnsi="Arial" w:cs="Arial"/>
          <w:sz w:val="24"/>
          <w:szCs w:val="24"/>
        </w:rPr>
        <w:t xml:space="preserve"> que se sacrifique,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$51.85</w:t>
      </w:r>
      <w:r w:rsidRPr="006B7EB5">
        <w:rPr>
          <w:rFonts w:ascii="Arial" w:hAnsi="Arial" w:cs="Arial"/>
          <w:sz w:val="24"/>
          <w:szCs w:val="24"/>
        </w:rPr>
        <w:t xml:space="preserve"> </w:t>
      </w:r>
      <w:r>
        <w:rPr>
          <w:rFonts w:ascii="Arial" w:hAnsi="Arial" w:cs="Arial"/>
          <w:sz w:val="24"/>
          <w:szCs w:val="24"/>
        </w:rPr>
        <w:t>a $238.84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g) Por condiciones insalubres de mataderos, refrigeradores y expendios de carne,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$48.20</w:t>
      </w:r>
      <w:r w:rsidRPr="006B7EB5">
        <w:rPr>
          <w:rFonts w:ascii="Arial" w:hAnsi="Arial" w:cs="Arial"/>
          <w:sz w:val="24"/>
          <w:szCs w:val="24"/>
        </w:rPr>
        <w:t xml:space="preserve"> </w:t>
      </w:r>
      <w:r>
        <w:rPr>
          <w:rFonts w:ascii="Arial" w:hAnsi="Arial" w:cs="Arial"/>
          <w:sz w:val="24"/>
          <w:szCs w:val="24"/>
        </w:rPr>
        <w:t>a $105.17</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Los giros cuyas instalaciones insalubres se reporten por el resguardo del rastro y no se corrijan, después de haberlos conminado a hacerlo, serán clausurados.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h) Por falsificación de sellos o firmas del rastro o resguardo,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$285.58</w:t>
      </w:r>
      <w:r w:rsidRPr="006B7EB5">
        <w:rPr>
          <w:rFonts w:ascii="Arial" w:hAnsi="Arial" w:cs="Arial"/>
          <w:sz w:val="24"/>
          <w:szCs w:val="24"/>
        </w:rPr>
        <w:t xml:space="preserve"> </w:t>
      </w:r>
      <w:r>
        <w:rPr>
          <w:rFonts w:ascii="Arial" w:hAnsi="Arial" w:cs="Arial"/>
          <w:sz w:val="24"/>
          <w:szCs w:val="24"/>
        </w:rPr>
        <w:t>a $485.71</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acarreo de carnes del rastro en vehículos que no sean del Municipio y no tengan concesión del Ayuntamiento, por cada día que se haga el acarreo,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$24.83</w:t>
      </w:r>
      <w:r w:rsidRPr="006B7EB5">
        <w:rPr>
          <w:rFonts w:ascii="Arial" w:hAnsi="Arial" w:cs="Arial"/>
          <w:sz w:val="24"/>
          <w:szCs w:val="24"/>
        </w:rPr>
        <w:t xml:space="preserve"> </w:t>
      </w:r>
      <w:r>
        <w:rPr>
          <w:rFonts w:ascii="Arial" w:hAnsi="Arial" w:cs="Arial"/>
          <w:sz w:val="24"/>
          <w:szCs w:val="24"/>
        </w:rPr>
        <w:t>a $83.99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Violaciones al Código Urbano para el Estado de Jalisco, y en materia de construcción y ornato: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colocar anuncios </w:t>
      </w:r>
      <w:r>
        <w:rPr>
          <w:rFonts w:ascii="Arial" w:hAnsi="Arial" w:cs="Arial"/>
          <w:sz w:val="24"/>
          <w:szCs w:val="24"/>
        </w:rPr>
        <w:t>en lugares no autorizados, de:       $30.67</w:t>
      </w:r>
      <w:r w:rsidRPr="006B7EB5">
        <w:rPr>
          <w:rFonts w:ascii="Arial" w:hAnsi="Arial" w:cs="Arial"/>
          <w:sz w:val="24"/>
          <w:szCs w:val="24"/>
        </w:rPr>
        <w:t xml:space="preserve"> </w:t>
      </w:r>
      <w:r>
        <w:rPr>
          <w:rFonts w:ascii="Arial" w:hAnsi="Arial" w:cs="Arial"/>
          <w:sz w:val="24"/>
          <w:szCs w:val="24"/>
        </w:rPr>
        <w:t>a $48.20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b) Por no arreglar la fachada de casa habitación, comercio, oficinas y factorías en zonas urbanizadas, por metro cuadrado,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p>
    <w:p w:rsidR="00DA389F" w:rsidRPr="006B7EB5" w:rsidRDefault="00DA389F" w:rsidP="00DA389F">
      <w:pPr>
        <w:spacing w:line="360" w:lineRule="auto"/>
        <w:ind w:left="4956" w:firstLine="708"/>
        <w:rPr>
          <w:rFonts w:ascii="Arial" w:hAnsi="Arial" w:cs="Arial"/>
          <w:sz w:val="24"/>
          <w:szCs w:val="24"/>
        </w:rPr>
      </w:pPr>
      <w:r>
        <w:rPr>
          <w:rFonts w:ascii="Arial" w:hAnsi="Arial" w:cs="Arial"/>
          <w:sz w:val="24"/>
          <w:szCs w:val="24"/>
        </w:rPr>
        <w:t xml:space="preserve">          $30.67</w:t>
      </w:r>
      <w:r w:rsidRPr="006B7EB5">
        <w:rPr>
          <w:rFonts w:ascii="Arial" w:hAnsi="Arial" w:cs="Arial"/>
          <w:sz w:val="24"/>
          <w:szCs w:val="24"/>
        </w:rPr>
        <w:t xml:space="preserve"> </w:t>
      </w:r>
      <w:r>
        <w:rPr>
          <w:rFonts w:ascii="Arial" w:hAnsi="Arial" w:cs="Arial"/>
          <w:sz w:val="24"/>
          <w:szCs w:val="24"/>
        </w:rPr>
        <w:t>a $73.04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c) Por tener en mal Estado la banqueta de fincas, en zonas urbanizadas,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$19.72 a $48.20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Por tener bardas, puertas o techos en condiciones de peligro para el libre tránsito de pe</w:t>
      </w:r>
      <w:r>
        <w:rPr>
          <w:rFonts w:ascii="Arial" w:hAnsi="Arial" w:cs="Arial"/>
          <w:sz w:val="24"/>
          <w:szCs w:val="24"/>
        </w:rPr>
        <w:t xml:space="preserve">rsonas y vehículos, 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$34.32</w:t>
      </w:r>
      <w:r w:rsidRPr="006B7EB5">
        <w:rPr>
          <w:rFonts w:ascii="Arial" w:hAnsi="Arial" w:cs="Arial"/>
          <w:sz w:val="24"/>
          <w:szCs w:val="24"/>
        </w:rPr>
        <w:t xml:space="preserve"> </w:t>
      </w:r>
      <w:r>
        <w:rPr>
          <w:rFonts w:ascii="Arial" w:hAnsi="Arial" w:cs="Arial"/>
          <w:sz w:val="24"/>
          <w:szCs w:val="24"/>
        </w:rPr>
        <w:t xml:space="preserve">a $78.88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Por dejar acumular escombro, materiales de construcción o utensilios de trabajo, en la banquet</w:t>
      </w:r>
      <w:r>
        <w:rPr>
          <w:rFonts w:ascii="Arial" w:hAnsi="Arial" w:cs="Arial"/>
          <w:sz w:val="24"/>
          <w:szCs w:val="24"/>
        </w:rPr>
        <w:t>a o calle, por metro cuadrado:</w:t>
      </w:r>
      <w:r>
        <w:rPr>
          <w:rFonts w:ascii="Arial" w:hAnsi="Arial" w:cs="Arial"/>
          <w:sz w:val="24"/>
          <w:szCs w:val="24"/>
        </w:rPr>
        <w:tab/>
      </w:r>
      <w:r>
        <w:rPr>
          <w:rFonts w:ascii="Arial" w:hAnsi="Arial" w:cs="Arial"/>
          <w:sz w:val="24"/>
          <w:szCs w:val="24"/>
        </w:rPr>
        <w:tab/>
        <w:t xml:space="preserve">                $18.99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f) Por no obtener previamente el permiso respectivo para realizar cualquiera de las actividades señaladas en los artículos 43 al 49 de esta Ley, se sancionará a los infractores con el importe de uno a tres tantos de las obligaciones eludidas; </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g) Por construcciones defectuosas que no reúnan las condiciones de </w:t>
      </w:r>
      <w:r>
        <w:rPr>
          <w:rFonts w:ascii="Arial" w:hAnsi="Arial" w:cs="Arial"/>
          <w:sz w:val="24"/>
          <w:szCs w:val="24"/>
        </w:rPr>
        <w:t>seguridad, 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$544.14 a $868.44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h) Por realizar construcciones en condiciones diferentes a los planos autorizados,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$113.21</w:t>
      </w:r>
      <w:r w:rsidRPr="006B7EB5">
        <w:rPr>
          <w:rFonts w:ascii="Arial" w:hAnsi="Arial" w:cs="Arial"/>
          <w:sz w:val="24"/>
          <w:szCs w:val="24"/>
        </w:rPr>
        <w:t xml:space="preserve"> </w:t>
      </w:r>
      <w:r>
        <w:rPr>
          <w:rFonts w:ascii="Arial" w:hAnsi="Arial" w:cs="Arial"/>
          <w:sz w:val="24"/>
          <w:szCs w:val="24"/>
        </w:rPr>
        <w:t xml:space="preserve">a $173.83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el incumplimiento a lo dispuesto por el artículo 298 del Código Urbano para el</w:t>
      </w:r>
      <w:r>
        <w:rPr>
          <w:rFonts w:ascii="Arial" w:hAnsi="Arial" w:cs="Arial"/>
          <w:sz w:val="24"/>
          <w:szCs w:val="24"/>
        </w:rPr>
        <w:t xml:space="preserve"> Estado de Jalisco, multa de                                 $73.04 a $12,416.80</w:t>
      </w:r>
      <w:r w:rsidRPr="006B7EB5">
        <w:rPr>
          <w:rFonts w:ascii="Arial" w:hAnsi="Arial" w:cs="Arial"/>
          <w:sz w:val="24"/>
          <w:szCs w:val="24"/>
        </w:rPr>
        <w:t>;</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j) Por dejar que se acumule basura, enseres, utensilios o cualquier objeto que impida el libre tránsito o estacionamiento de vehículos en las banquetas o</w:t>
      </w:r>
      <w:r>
        <w:rPr>
          <w:rFonts w:ascii="Arial" w:hAnsi="Arial" w:cs="Arial"/>
          <w:sz w:val="24"/>
          <w:szCs w:val="24"/>
        </w:rPr>
        <w:t xml:space="preserve"> en el arroyo de la calle, de:</w:t>
      </w:r>
      <w:r>
        <w:rPr>
          <w:rFonts w:ascii="Arial" w:hAnsi="Arial" w:cs="Arial"/>
          <w:sz w:val="24"/>
          <w:szCs w:val="24"/>
        </w:rPr>
        <w:tab/>
      </w:r>
      <w:r>
        <w:rPr>
          <w:rFonts w:ascii="Arial" w:hAnsi="Arial" w:cs="Arial"/>
          <w:sz w:val="24"/>
          <w:szCs w:val="24"/>
        </w:rPr>
        <w:tab/>
        <w:t xml:space="preserve">                          $30.67</w:t>
      </w:r>
      <w:r w:rsidRPr="006B7EB5">
        <w:rPr>
          <w:rFonts w:ascii="Arial" w:hAnsi="Arial" w:cs="Arial"/>
          <w:sz w:val="24"/>
          <w:szCs w:val="24"/>
        </w:rPr>
        <w:t xml:space="preserve"> </w:t>
      </w:r>
      <w:r>
        <w:rPr>
          <w:rFonts w:ascii="Arial" w:hAnsi="Arial" w:cs="Arial"/>
          <w:sz w:val="24"/>
          <w:szCs w:val="24"/>
        </w:rPr>
        <w:t xml:space="preserve">a $176.02 </w:t>
      </w: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k) Por falta de bitácora o firmas de autorización en las mismas,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$30.67</w:t>
      </w:r>
      <w:r w:rsidRPr="006B7EB5">
        <w:rPr>
          <w:rFonts w:ascii="Arial" w:hAnsi="Arial" w:cs="Arial"/>
          <w:sz w:val="24"/>
          <w:szCs w:val="24"/>
        </w:rPr>
        <w:t xml:space="preserve"> </w:t>
      </w:r>
      <w:r>
        <w:rPr>
          <w:rFonts w:ascii="Arial" w:hAnsi="Arial" w:cs="Arial"/>
          <w:sz w:val="24"/>
          <w:szCs w:val="24"/>
        </w:rPr>
        <w:t xml:space="preserve">a $176.02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 La invasión por construcciones en la vía pública y de limitaciones de dominio, se sancionará con multa por el doble del valor del terreno invadido y la demolición de las propias construcciones;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m) Por derribar fincas sin permiso de la autoridad municipal, y sin perjuicio de las sanciones establecidas en otros ordenamientos, de: </w:t>
      </w:r>
      <w:r w:rsidRPr="006B7EB5">
        <w:rPr>
          <w:rFonts w:ascii="Arial" w:hAnsi="Arial" w:cs="Arial"/>
          <w:sz w:val="24"/>
          <w:szCs w:val="24"/>
        </w:rPr>
        <w:tab/>
        <w:t xml:space="preserv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$453.57</w:t>
      </w:r>
      <w:r w:rsidRPr="006B7EB5">
        <w:rPr>
          <w:rFonts w:ascii="Arial" w:hAnsi="Arial" w:cs="Arial"/>
          <w:sz w:val="24"/>
          <w:szCs w:val="24"/>
        </w:rPr>
        <w:t xml:space="preserve"> </w:t>
      </w:r>
      <w:r>
        <w:rPr>
          <w:rFonts w:ascii="Arial" w:hAnsi="Arial" w:cs="Arial"/>
          <w:sz w:val="24"/>
          <w:szCs w:val="24"/>
        </w:rPr>
        <w:t xml:space="preserve">a $1,002.83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Violaciones al Reglamento de Policía y Buen Gobierno y a la Ley de Movilidad y Transporte del Estado de</w:t>
      </w:r>
      <w:r>
        <w:rPr>
          <w:rFonts w:ascii="Arial" w:hAnsi="Arial" w:cs="Arial"/>
          <w:sz w:val="24"/>
          <w:szCs w:val="24"/>
        </w:rPr>
        <w:t xml:space="preserve"> Jalisco y su Reglamento: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Las sanciones que se causen por violaciones al Reglamento de Policía y Buen Gobierno, serán aplicadas por los jueces municipales de la zona correspondiente, o en su caso, calificadores y recaudadores adscritos al área competente; a falta de éstos, las sanciones se determinarán por el presid</w:t>
      </w:r>
      <w:r>
        <w:rPr>
          <w:rFonts w:ascii="Arial" w:hAnsi="Arial" w:cs="Arial"/>
          <w:sz w:val="24"/>
          <w:szCs w:val="24"/>
        </w:rPr>
        <w:t>ente municipal con multa, de $73.04 a $3,652</w:t>
      </w:r>
      <w:r w:rsidRPr="006B7EB5">
        <w:rPr>
          <w:rFonts w:ascii="Arial" w:hAnsi="Arial" w:cs="Arial"/>
          <w:sz w:val="24"/>
          <w:szCs w:val="24"/>
        </w:rPr>
        <w:t xml:space="preserve"> o arresto hasta por 36 horas.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b) Las infracciones en materia de tránsito serán sancionadas administrativamente con multas, en base a lo señalado por la Ley de Movilidad y Transporte del Estado de Jalisco.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En el caso de que el servicio de tránsito lo preste directamente el Ayuntamiento, se estará a lo que se establezca en el convenio respectivo que suscriba la autoridad municipal co</w:t>
      </w:r>
      <w:r>
        <w:rPr>
          <w:rFonts w:ascii="Arial" w:hAnsi="Arial" w:cs="Arial"/>
          <w:sz w:val="24"/>
          <w:szCs w:val="24"/>
        </w:rPr>
        <w:t xml:space="preserve">n el Gobierno del Estado.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En caso de celebración de bailes, tertulias, kermeses o tardeadas, sin el permiso correspondiente, se impondr</w:t>
      </w:r>
      <w:r>
        <w:rPr>
          <w:rFonts w:ascii="Arial" w:hAnsi="Arial" w:cs="Arial"/>
          <w:sz w:val="24"/>
          <w:szCs w:val="24"/>
        </w:rPr>
        <w:t>á una multa, de:          $94.22</w:t>
      </w:r>
      <w:r w:rsidRPr="006B7EB5">
        <w:rPr>
          <w:rFonts w:ascii="Arial" w:hAnsi="Arial" w:cs="Arial"/>
          <w:sz w:val="24"/>
          <w:szCs w:val="24"/>
        </w:rPr>
        <w:t xml:space="preserve"> </w:t>
      </w:r>
      <w:r>
        <w:rPr>
          <w:rFonts w:ascii="Arial" w:hAnsi="Arial" w:cs="Arial"/>
          <w:sz w:val="24"/>
          <w:szCs w:val="24"/>
        </w:rPr>
        <w:t>a $836.30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Por violación a los horarios establecidos en materia de espectáculos y por concepto de variación de horarios y presentación de artistas: </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Por variación de horarios en la presentación de artistas, sobre el mon</w:t>
      </w:r>
      <w:r>
        <w:rPr>
          <w:rFonts w:ascii="Arial" w:hAnsi="Arial" w:cs="Arial"/>
          <w:sz w:val="24"/>
          <w:szCs w:val="24"/>
        </w:rPr>
        <w:t xml:space="preserve">to de su sueldo, del: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a 30%</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venta de boletaje sin sello de la sección de supervisión de espectáculos,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$47.47</w:t>
      </w:r>
      <w:r w:rsidRPr="006B7EB5">
        <w:rPr>
          <w:rFonts w:ascii="Arial" w:hAnsi="Arial" w:cs="Arial"/>
          <w:sz w:val="24"/>
          <w:szCs w:val="24"/>
        </w:rPr>
        <w:t xml:space="preserve"> </w:t>
      </w:r>
      <w:r>
        <w:rPr>
          <w:rFonts w:ascii="Arial" w:hAnsi="Arial" w:cs="Arial"/>
          <w:sz w:val="24"/>
          <w:szCs w:val="24"/>
        </w:rPr>
        <w:t xml:space="preserve">a $277.55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En caso de reincidencia, se cobrará el doble y se clausurará el giro en forma temporal o definitiva.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Por falta de permiso para variedad o variación de la misma,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$47.47</w:t>
      </w:r>
      <w:r w:rsidRPr="006B7EB5">
        <w:rPr>
          <w:rFonts w:ascii="Arial" w:hAnsi="Arial" w:cs="Arial"/>
          <w:sz w:val="24"/>
          <w:szCs w:val="24"/>
        </w:rPr>
        <w:t xml:space="preserve"> </w:t>
      </w:r>
      <w:r>
        <w:rPr>
          <w:rFonts w:ascii="Arial" w:hAnsi="Arial" w:cs="Arial"/>
          <w:sz w:val="24"/>
          <w:szCs w:val="24"/>
        </w:rPr>
        <w:t xml:space="preserve">a $279.01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4.- Por sobrecupo o sobreventa, se pagará de uno a tres tantos del valor de los boletos correspondientes al mismo.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5.- Por variación de horarios en cualquier tipo de espectáculos,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$47.47</w:t>
      </w:r>
      <w:r w:rsidRPr="006B7EB5">
        <w:rPr>
          <w:rFonts w:ascii="Arial" w:hAnsi="Arial" w:cs="Arial"/>
          <w:sz w:val="24"/>
          <w:szCs w:val="24"/>
        </w:rPr>
        <w:t xml:space="preserve"> </w:t>
      </w:r>
      <w:r>
        <w:rPr>
          <w:rFonts w:ascii="Arial" w:hAnsi="Arial" w:cs="Arial"/>
          <w:sz w:val="24"/>
          <w:szCs w:val="24"/>
        </w:rPr>
        <w:t xml:space="preserve">a $279.01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Por hoteles que funcionen como moteles de paso, de:</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$47.47</w:t>
      </w:r>
      <w:r w:rsidRPr="006B7EB5">
        <w:rPr>
          <w:rFonts w:ascii="Arial" w:hAnsi="Arial" w:cs="Arial"/>
          <w:sz w:val="24"/>
          <w:szCs w:val="24"/>
        </w:rPr>
        <w:t xml:space="preserve"> </w:t>
      </w:r>
      <w:r>
        <w:rPr>
          <w:rFonts w:ascii="Arial" w:hAnsi="Arial" w:cs="Arial"/>
          <w:sz w:val="24"/>
          <w:szCs w:val="24"/>
        </w:rPr>
        <w:t xml:space="preserve">a $252.71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f) Por permitir el acceso a menores de edad a lugares como cantinas, cabarets, billares, cines con funciones para adultos, por persona,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$51.85 a $635.44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g) A quien permita la entrada a menores de edad a los establecimientos específicos de consumo o les venda suministre bebidas alcohólicas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$105,177.60 a $204,512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h) Por el funcionamiento de aparatos de sonido después de las 22:00  horas, en z</w:t>
      </w:r>
      <w:r>
        <w:rPr>
          <w:rFonts w:ascii="Arial" w:hAnsi="Arial" w:cs="Arial"/>
          <w:sz w:val="24"/>
          <w:szCs w:val="24"/>
        </w:rPr>
        <w:t>onas habitacionales, 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$17.52</w:t>
      </w:r>
      <w:r w:rsidRPr="006B7EB5">
        <w:rPr>
          <w:rFonts w:ascii="Arial" w:hAnsi="Arial" w:cs="Arial"/>
          <w:sz w:val="24"/>
          <w:szCs w:val="24"/>
        </w:rPr>
        <w:t xml:space="preserve"> </w:t>
      </w:r>
      <w:r>
        <w:rPr>
          <w:rFonts w:ascii="Arial" w:hAnsi="Arial" w:cs="Arial"/>
          <w:sz w:val="24"/>
          <w:szCs w:val="24"/>
        </w:rPr>
        <w:t>a $27.02</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permitir que transiten animales en </w:t>
      </w:r>
      <w:proofErr w:type="gramStart"/>
      <w:r w:rsidRPr="006B7EB5">
        <w:rPr>
          <w:rFonts w:ascii="Arial" w:hAnsi="Arial" w:cs="Arial"/>
          <w:sz w:val="24"/>
          <w:szCs w:val="24"/>
        </w:rPr>
        <w:t>la vía pública y caninos</w:t>
      </w:r>
      <w:proofErr w:type="gramEnd"/>
      <w:r w:rsidRPr="006B7EB5">
        <w:rPr>
          <w:rFonts w:ascii="Arial" w:hAnsi="Arial" w:cs="Arial"/>
          <w:sz w:val="24"/>
          <w:szCs w:val="24"/>
        </w:rPr>
        <w:t xml:space="preserve"> que no porten su correspondiente placa o comprobante de vacunación: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Ganad</w:t>
      </w:r>
      <w:r>
        <w:rPr>
          <w:rFonts w:ascii="Arial" w:hAnsi="Arial" w:cs="Arial"/>
          <w:sz w:val="24"/>
          <w:szCs w:val="24"/>
        </w:rPr>
        <w:t>o mayor, por cabeza, 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$10.22</w:t>
      </w:r>
      <w:r w:rsidRPr="006B7EB5">
        <w:rPr>
          <w:rFonts w:ascii="Arial" w:hAnsi="Arial" w:cs="Arial"/>
          <w:sz w:val="24"/>
          <w:szCs w:val="24"/>
        </w:rPr>
        <w:t xml:space="preserve"> </w:t>
      </w:r>
      <w:r>
        <w:rPr>
          <w:rFonts w:ascii="Arial" w:hAnsi="Arial" w:cs="Arial"/>
          <w:sz w:val="24"/>
          <w:szCs w:val="24"/>
        </w:rPr>
        <w:t>a $16.79</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2. Ganado</w:t>
      </w:r>
      <w:r>
        <w:rPr>
          <w:rFonts w:ascii="Arial" w:hAnsi="Arial" w:cs="Arial"/>
          <w:sz w:val="24"/>
          <w:szCs w:val="24"/>
        </w:rPr>
        <w:t xml:space="preserve"> menor, por cabeza, de:</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$10.22 a $16.79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Caninos, por cada uno,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$10.22</w:t>
      </w:r>
      <w:r w:rsidRPr="006B7EB5">
        <w:rPr>
          <w:rFonts w:ascii="Arial" w:hAnsi="Arial" w:cs="Arial"/>
          <w:sz w:val="24"/>
          <w:szCs w:val="24"/>
        </w:rPr>
        <w:t xml:space="preserve"> </w:t>
      </w:r>
      <w:r>
        <w:rPr>
          <w:rFonts w:ascii="Arial" w:hAnsi="Arial" w:cs="Arial"/>
          <w:sz w:val="24"/>
          <w:szCs w:val="24"/>
        </w:rPr>
        <w:t xml:space="preserve">a $37.98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Por invasión de las vías públicas, con vehículos que se estacionen permanentemente o por talleres que se instalen en las mismas, según la importancia de la zona urbana de que se trate, diariamente, por metro cuadrado,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6F2256">
        <w:rPr>
          <w:rFonts w:ascii="Arial" w:hAnsi="Arial" w:cs="Arial"/>
          <w:sz w:val="24"/>
          <w:szCs w:val="24"/>
        </w:rPr>
        <w:t>$10.22 a $13.87</w:t>
      </w:r>
      <w:r>
        <w:rPr>
          <w:rFonts w:ascii="Arial" w:hAnsi="Arial" w:cs="Arial"/>
          <w:sz w:val="24"/>
          <w:szCs w:val="24"/>
        </w:rPr>
        <w:t xml:space="preserve">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j) Por no realizar el evento, espectáculo o diversión sin causa justificada, se cobrará una sanción del 10% al 30%, sobre la garantía establecida en el inciso c), de la fracción V, del artículo 6° de esta Ley.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 Sanciones por violaciones al uso y aprovechamiento del agua:</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desperdici</w:t>
      </w:r>
      <w:r>
        <w:rPr>
          <w:rFonts w:ascii="Arial" w:hAnsi="Arial" w:cs="Arial"/>
          <w:sz w:val="24"/>
          <w:szCs w:val="24"/>
        </w:rPr>
        <w:t>o o uso indebido del agua, de:        $61.35</w:t>
      </w:r>
      <w:r w:rsidRPr="006B7EB5">
        <w:rPr>
          <w:rFonts w:ascii="Arial" w:hAnsi="Arial" w:cs="Arial"/>
          <w:sz w:val="24"/>
          <w:szCs w:val="24"/>
        </w:rPr>
        <w:t xml:space="preserve"> </w:t>
      </w:r>
      <w:r>
        <w:rPr>
          <w:rFonts w:ascii="Arial" w:hAnsi="Arial" w:cs="Arial"/>
          <w:sz w:val="24"/>
          <w:szCs w:val="24"/>
        </w:rPr>
        <w:t>a</w:t>
      </w:r>
      <w:r>
        <w:rPr>
          <w:rFonts w:ascii="Arial" w:hAnsi="Arial" w:cs="Arial"/>
          <w:sz w:val="24"/>
          <w:szCs w:val="24"/>
        </w:rPr>
        <w:tab/>
        <w:t xml:space="preserve"> $352.78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ministrar agua a otra finca distinta de la manifestada,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$17.52</w:t>
      </w:r>
      <w:r w:rsidRPr="006B7EB5">
        <w:rPr>
          <w:rFonts w:ascii="Arial" w:hAnsi="Arial" w:cs="Arial"/>
          <w:sz w:val="24"/>
          <w:szCs w:val="24"/>
        </w:rPr>
        <w:t xml:space="preserve"> </w:t>
      </w:r>
      <w:r>
        <w:rPr>
          <w:rFonts w:ascii="Arial" w:hAnsi="Arial" w:cs="Arial"/>
          <w:sz w:val="24"/>
          <w:szCs w:val="24"/>
        </w:rPr>
        <w:t xml:space="preserve">a $35.78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Por extraer agua de las redes de distribución, sin la autorización correspondiente: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Al ser detectados,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$48.20</w:t>
      </w:r>
      <w:r w:rsidRPr="006B7EB5">
        <w:rPr>
          <w:rFonts w:ascii="Arial" w:hAnsi="Arial" w:cs="Arial"/>
          <w:sz w:val="24"/>
          <w:szCs w:val="24"/>
        </w:rPr>
        <w:t xml:space="preserve"> </w:t>
      </w:r>
      <w:r>
        <w:rPr>
          <w:rFonts w:ascii="Arial" w:hAnsi="Arial" w:cs="Arial"/>
          <w:sz w:val="24"/>
          <w:szCs w:val="24"/>
        </w:rPr>
        <w:t>a $174.56</w:t>
      </w:r>
      <w:r w:rsidRPr="006B7EB5">
        <w:rPr>
          <w:rFonts w:ascii="Arial" w:hAnsi="Arial" w:cs="Arial"/>
          <w:sz w:val="24"/>
          <w:szCs w:val="24"/>
        </w:rPr>
        <w:t xml:space="preserve"> </w:t>
      </w:r>
      <w:r w:rsidRPr="006B7EB5">
        <w:rPr>
          <w:rFonts w:ascii="Arial" w:hAnsi="Arial" w:cs="Arial"/>
          <w:sz w:val="24"/>
          <w:szCs w:val="24"/>
        </w:rPr>
        <w:tab/>
      </w:r>
      <w:r>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Por reincidencia,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t xml:space="preserve">   $94.22</w:t>
      </w:r>
      <w:r w:rsidRPr="006B7EB5">
        <w:rPr>
          <w:rFonts w:ascii="Arial" w:hAnsi="Arial" w:cs="Arial"/>
          <w:sz w:val="24"/>
          <w:szCs w:val="24"/>
        </w:rPr>
        <w:t xml:space="preserve"> </w:t>
      </w:r>
      <w:r>
        <w:rPr>
          <w:rFonts w:ascii="Arial" w:hAnsi="Arial" w:cs="Arial"/>
          <w:sz w:val="24"/>
          <w:szCs w:val="24"/>
        </w:rPr>
        <w:t xml:space="preserve">a $363.73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Por utilizar el agua potable para riego en terrenos de labor, hortalizas  o en albercas sin autorización,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t xml:space="preserve">    $53.31</w:t>
      </w:r>
      <w:r w:rsidRPr="006B7EB5">
        <w:rPr>
          <w:rFonts w:ascii="Arial" w:hAnsi="Arial" w:cs="Arial"/>
          <w:sz w:val="24"/>
          <w:szCs w:val="24"/>
        </w:rPr>
        <w:t xml:space="preserve"> </w:t>
      </w:r>
      <w:r>
        <w:rPr>
          <w:rFonts w:ascii="Arial" w:hAnsi="Arial" w:cs="Arial"/>
          <w:sz w:val="24"/>
          <w:szCs w:val="24"/>
        </w:rPr>
        <w:t xml:space="preserve">a $166.53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Por arrojar, almacenar o depositar en la vía pública, propiedades privadas, drenajes o sistemas de desagüe: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1.- Basura, escombros desechos orgánicos, animales muertos y follajes,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$281.93</w:t>
      </w:r>
      <w:r w:rsidRPr="006B7EB5">
        <w:rPr>
          <w:rFonts w:ascii="Arial" w:hAnsi="Arial" w:cs="Arial"/>
          <w:sz w:val="24"/>
          <w:szCs w:val="24"/>
        </w:rPr>
        <w:t xml:space="preserve"> </w:t>
      </w:r>
      <w:r>
        <w:rPr>
          <w:rFonts w:ascii="Arial" w:hAnsi="Arial" w:cs="Arial"/>
          <w:sz w:val="24"/>
          <w:szCs w:val="24"/>
        </w:rPr>
        <w:t xml:space="preserve">a $763.99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Líquidos productos o sustancias fétidas que causen molestia o peligro para la salud,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$566.06</w:t>
      </w:r>
      <w:r w:rsidRPr="006B7EB5">
        <w:rPr>
          <w:rFonts w:ascii="Arial" w:hAnsi="Arial" w:cs="Arial"/>
          <w:sz w:val="24"/>
          <w:szCs w:val="24"/>
        </w:rPr>
        <w:t xml:space="preserve"> </w:t>
      </w:r>
      <w:r>
        <w:rPr>
          <w:rFonts w:ascii="Arial" w:hAnsi="Arial" w:cs="Arial"/>
          <w:sz w:val="24"/>
          <w:szCs w:val="24"/>
        </w:rPr>
        <w:t xml:space="preserve">a $1,260.52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Productos químicos, sustancias inflamables, explosivas, corrosivas, contaminantes, que entrañen peligro por sí mismas, en conjunto mezcladas o que tengan reacción al contacto con líquidos o cambios de temperatura, de: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$1,411.13</w:t>
      </w:r>
      <w:r w:rsidRPr="006B7EB5">
        <w:rPr>
          <w:rFonts w:ascii="Arial" w:hAnsi="Arial" w:cs="Arial"/>
          <w:sz w:val="24"/>
          <w:szCs w:val="24"/>
        </w:rPr>
        <w:t xml:space="preserve"> </w:t>
      </w:r>
      <w:r>
        <w:rPr>
          <w:rFonts w:ascii="Arial" w:hAnsi="Arial" w:cs="Arial"/>
          <w:sz w:val="24"/>
          <w:szCs w:val="24"/>
        </w:rPr>
        <w:t xml:space="preserve">a $3,789.31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f) Por no cubrir los derechos del servicio del agua por más de un bimestre en el uso doméstico, se procederá a reducir el flujo del agua al mínimo permitido por la Legislación Sanitaria, para el caso de los usuarios del servicio no doméstico con adeudos de dos meses o más, se podrá realizar la suspensión total del servicio y la cancelación de las descargas, debiendo cubrir el usuario los gastos que originen las reducciones, cancelaciones o suspensiones y posterior regularización en forma anticipada de acuerdo a los siguientes valores y en proporc</w:t>
      </w:r>
      <w:r>
        <w:rPr>
          <w:rFonts w:ascii="Arial" w:hAnsi="Arial" w:cs="Arial"/>
          <w:sz w:val="24"/>
          <w:szCs w:val="24"/>
        </w:rPr>
        <w:t xml:space="preserve">ión al trabajo efectuado: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Por reducción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$283.39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Por regularización: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$162.14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En caso de violaciones a las reducciones al servicio por parte del usuario, la autoridad competente volverá a efectuar las reducciones o regularizaciones correspondientes. En cada ocasión deberá cubrir el importe de reducción o regularización</w:t>
      </w:r>
      <w:r>
        <w:rPr>
          <w:rFonts w:ascii="Arial" w:hAnsi="Arial" w:cs="Arial"/>
          <w:sz w:val="24"/>
          <w:szCs w:val="24"/>
        </w:rPr>
        <w:t>, además de una sanción de $365.20 a $4,382.40</w:t>
      </w:r>
      <w:r w:rsidRPr="006B7EB5">
        <w:rPr>
          <w:rFonts w:ascii="Arial" w:hAnsi="Arial" w:cs="Arial"/>
          <w:sz w:val="24"/>
          <w:szCs w:val="24"/>
        </w:rPr>
        <w:t>, según la gravedad del daño o el</w:t>
      </w:r>
      <w:r>
        <w:rPr>
          <w:rFonts w:ascii="Arial" w:hAnsi="Arial" w:cs="Arial"/>
          <w:sz w:val="24"/>
          <w:szCs w:val="24"/>
        </w:rPr>
        <w:t xml:space="preserve"> número de reincidencias.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g) Por acciones u omisiones de los usuarios que disminuyan o pongan en peligro la disponibilidad del agua potable, para su abastecimiento, dañen el agua del subsuelo con sus desechos, perjudiquen el alcantarillado o se conecten sin autorización a las redes de los servicios y que motiven inspección de carácter técnico por personal de la dependencia que preste el servicio, </w:t>
      </w:r>
      <w:r>
        <w:rPr>
          <w:rFonts w:ascii="Arial" w:hAnsi="Arial" w:cs="Arial"/>
          <w:sz w:val="24"/>
          <w:szCs w:val="24"/>
        </w:rPr>
        <w:t xml:space="preserve">se impondrá una </w:t>
      </w:r>
      <w:r>
        <w:rPr>
          <w:rFonts w:ascii="Arial" w:hAnsi="Arial" w:cs="Arial"/>
          <w:sz w:val="24"/>
          <w:szCs w:val="24"/>
        </w:rPr>
        <w:lastRenderedPageBreak/>
        <w:t>sanción de $365.20 a $1,460.80</w:t>
      </w:r>
      <w:r w:rsidRPr="006B7EB5">
        <w:rPr>
          <w:rFonts w:ascii="Arial" w:hAnsi="Arial" w:cs="Arial"/>
          <w:sz w:val="24"/>
          <w:szCs w:val="24"/>
        </w:rPr>
        <w:t>, de conformidad a los trabajos realizados y la graved</w:t>
      </w:r>
      <w:r>
        <w:rPr>
          <w:rFonts w:ascii="Arial" w:hAnsi="Arial" w:cs="Arial"/>
          <w:sz w:val="24"/>
          <w:szCs w:val="24"/>
        </w:rPr>
        <w:t xml:space="preserve">ad de los daños causados.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La anterior sanción será independiente del pago de agua consumida en su caso, según la estimación técnica que al efecto se realice, pudiendo la autoridad clausurar las instalaciones, quedando a criterio de la misma la facultad de autorizar el servicio de agua.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h) Por diferencia entre la realidad y los datos proporcionados por el usuario que implique modificaciones al padrón, se impondrá una </w:t>
      </w:r>
      <w:r>
        <w:rPr>
          <w:rFonts w:ascii="Arial" w:hAnsi="Arial" w:cs="Arial"/>
          <w:sz w:val="24"/>
          <w:szCs w:val="24"/>
        </w:rPr>
        <w:t>sanción equivalente de entre $73.04 a $365.20</w:t>
      </w:r>
      <w:r w:rsidRPr="006B7EB5">
        <w:rPr>
          <w:rFonts w:ascii="Arial" w:hAnsi="Arial" w:cs="Arial"/>
          <w:sz w:val="24"/>
          <w:szCs w:val="24"/>
        </w:rPr>
        <w:t xml:space="preserve">, según la gravedad del caso, debiendo además pagar las diferencias que resulten así como los recargos de los últimos cinco años, en su caso.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VII. Por contravención a las disposiciones de la Ley de Protección Civil del Estado y sus Reglamentos, el Municipio percibirá los ingresos por concepto de las multas derivadas de las sanciones que se impongan en los términos de la propia Ley y sus Reglamentos.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VIII. Violaciones al Reglamento de Servicio</w:t>
      </w:r>
      <w:r>
        <w:rPr>
          <w:rFonts w:ascii="Arial" w:hAnsi="Arial" w:cs="Arial"/>
          <w:sz w:val="24"/>
          <w:szCs w:val="24"/>
        </w:rPr>
        <w:t xml:space="preserve"> Público de Estacionamientos: </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 Por omitir el pago de la tarifa en estacionamiento exclusivo para </w:t>
      </w:r>
      <w:proofErr w:type="spellStart"/>
      <w:r w:rsidRPr="006B7EB5">
        <w:rPr>
          <w:rFonts w:ascii="Arial" w:hAnsi="Arial" w:cs="Arial"/>
          <w:sz w:val="24"/>
          <w:szCs w:val="24"/>
        </w:rPr>
        <w:t>estacionómetros</w:t>
      </w:r>
      <w:proofErr w:type="spellEnd"/>
      <w:r w:rsidRPr="006B7EB5">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$83.99</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 xml:space="preserve">b) Por estacionar vehículos invadiendo dos lugares cubiertos por </w:t>
      </w:r>
      <w:proofErr w:type="spellStart"/>
      <w:r w:rsidRPr="006B7EB5">
        <w:rPr>
          <w:rFonts w:ascii="Arial" w:hAnsi="Arial" w:cs="Arial"/>
          <w:sz w:val="24"/>
          <w:szCs w:val="24"/>
        </w:rPr>
        <w:t>estacionómetros</w:t>
      </w:r>
      <w:proofErr w:type="spellEnd"/>
      <w:r w:rsidRPr="006B7EB5">
        <w:rPr>
          <w:rFonts w:ascii="Arial" w:hAnsi="Arial" w:cs="Arial"/>
          <w:sz w:val="24"/>
          <w:szCs w:val="24"/>
        </w:rPr>
        <w:t xml:space="preserve">: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$159.22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c) Por estacionar vehículos invadiendo parte de un lugar cubierto por </w:t>
      </w:r>
      <w:proofErr w:type="spellStart"/>
      <w:r w:rsidRPr="006B7EB5">
        <w:rPr>
          <w:rFonts w:ascii="Arial" w:hAnsi="Arial" w:cs="Arial"/>
          <w:sz w:val="24"/>
          <w:szCs w:val="24"/>
        </w:rPr>
        <w:t>estacionómetros</w:t>
      </w:r>
      <w:proofErr w:type="spellEnd"/>
      <w:r w:rsidRPr="006B7EB5">
        <w:rPr>
          <w:rFonts w:ascii="Arial" w:hAnsi="Arial" w:cs="Arial"/>
          <w:sz w:val="24"/>
          <w:szCs w:val="24"/>
        </w:rPr>
        <w:t>:</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$214.00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Por estacionarse sin derecho en espacio autorizado como exclusivo: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$212.54</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e) Por introducir objetos diferentes a la moneda del aparato de </w:t>
      </w:r>
      <w:proofErr w:type="spellStart"/>
      <w:r w:rsidRPr="006B7EB5">
        <w:rPr>
          <w:rFonts w:ascii="Arial" w:hAnsi="Arial" w:cs="Arial"/>
          <w:sz w:val="24"/>
          <w:szCs w:val="24"/>
        </w:rPr>
        <w:t>estacionómetro</w:t>
      </w:r>
      <w:proofErr w:type="spellEnd"/>
      <w:r w:rsidRPr="006B7EB5">
        <w:rPr>
          <w:rFonts w:ascii="Arial" w:hAnsi="Arial" w:cs="Arial"/>
          <w:sz w:val="24"/>
          <w:szCs w:val="24"/>
        </w:rPr>
        <w:t>, sin perjuicio del ejercicio de la acción penal correspondiente, cuando se sorprenda en flagrancia al infractor:</w:t>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$612.80</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r w:rsidRPr="006B7EB5">
        <w:rPr>
          <w:rFonts w:ascii="Arial" w:hAnsi="Arial" w:cs="Arial"/>
          <w:sz w:val="24"/>
          <w:szCs w:val="24"/>
        </w:rPr>
        <w:t>f) Por señalar espacios como estacionamiento exclusivo, en la vía pública, sin la autorización de la autoridad municipal correspondiente:</w:t>
      </w:r>
      <w:r w:rsidRPr="006B7EB5">
        <w:rPr>
          <w:rFonts w:ascii="Arial" w:hAnsi="Arial" w:cs="Arial"/>
          <w:sz w:val="24"/>
          <w:szCs w:val="24"/>
        </w:rPr>
        <w:tab/>
      </w:r>
      <w:r w:rsidRPr="006B7EB5">
        <w:rPr>
          <w:rFonts w:ascii="Arial" w:hAnsi="Arial" w:cs="Arial"/>
          <w:sz w:val="24"/>
          <w:szCs w:val="24"/>
        </w:rPr>
        <w:tab/>
        <w:t xml:space="preserve"> </w:t>
      </w:r>
    </w:p>
    <w:p w:rsidR="00DA389F" w:rsidRPr="006B7EB5" w:rsidRDefault="00DA389F" w:rsidP="00DA389F">
      <w:pPr>
        <w:spacing w:line="360" w:lineRule="auto"/>
        <w:ind w:left="5664" w:firstLine="708"/>
        <w:rPr>
          <w:rFonts w:ascii="Arial" w:hAnsi="Arial" w:cs="Arial"/>
          <w:sz w:val="24"/>
          <w:szCs w:val="24"/>
        </w:rPr>
      </w:pPr>
      <w:r>
        <w:rPr>
          <w:rFonts w:ascii="Arial" w:hAnsi="Arial" w:cs="Arial"/>
          <w:sz w:val="24"/>
          <w:szCs w:val="24"/>
        </w:rPr>
        <w:t xml:space="preserve">             $243.22</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g) Por obstaculizar el espacio de un estacionamiento cubierto por </w:t>
      </w:r>
      <w:proofErr w:type="spellStart"/>
      <w:r w:rsidRPr="006B7EB5">
        <w:rPr>
          <w:rFonts w:ascii="Arial" w:hAnsi="Arial" w:cs="Arial"/>
          <w:sz w:val="24"/>
          <w:szCs w:val="24"/>
        </w:rPr>
        <w:t>estacionómetro</w:t>
      </w:r>
      <w:proofErr w:type="spellEnd"/>
      <w:r w:rsidRPr="006B7EB5">
        <w:rPr>
          <w:rFonts w:ascii="Arial" w:hAnsi="Arial" w:cs="Arial"/>
          <w:sz w:val="24"/>
          <w:szCs w:val="24"/>
        </w:rPr>
        <w:t xml:space="preserve"> con material de obra de construcción, botes, objetos, enseres y puestos </w:t>
      </w:r>
      <w:r>
        <w:rPr>
          <w:rFonts w:ascii="Arial" w:hAnsi="Arial" w:cs="Arial"/>
          <w:sz w:val="24"/>
          <w:szCs w:val="24"/>
        </w:rPr>
        <w:t xml:space="preserve">ambulantes: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$377.61</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IX. Las infracciones a la Ley para Regular la Venta y el Consumo de Bebidas Alcohólicas del Estado de Jalisco, señaladas en la presente fracción se sancionará</w:t>
      </w:r>
      <w:r>
        <w:rPr>
          <w:rFonts w:ascii="Arial" w:hAnsi="Arial" w:cs="Arial"/>
          <w:sz w:val="24"/>
          <w:szCs w:val="24"/>
        </w:rPr>
        <w:t>n conforme a lo siguiente: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Se impondrá multa de</w:t>
      </w:r>
      <w:r>
        <w:rPr>
          <w:rFonts w:ascii="Arial" w:hAnsi="Arial" w:cs="Arial"/>
          <w:sz w:val="24"/>
          <w:szCs w:val="24"/>
        </w:rPr>
        <w:t xml:space="preserve"> $584.32 a $6,208.40 a quien: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No tenga en lugar visible de su establecimiento la licencia o copia certificada de la misma.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Se impondrá multa</w:t>
      </w:r>
      <w:r>
        <w:rPr>
          <w:rFonts w:ascii="Arial" w:hAnsi="Arial" w:cs="Arial"/>
          <w:sz w:val="24"/>
          <w:szCs w:val="24"/>
        </w:rPr>
        <w:t xml:space="preserve"> de $1,241.68 a $12,416.80 a quien: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Carezca de los avisos en que se anuncie la prohibición de ingresar a menores de dieciocho años de edad; y</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Carezca de los avisos en que se anuncie la prohibición para los establecimientos de discriminar a las personas por cualquier motivo, así como los teléfonos a donde las personas puedan comunicarse en caso de presentarse situaciones de discriminación,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c) Se impondrá multa</w:t>
      </w:r>
      <w:r>
        <w:rPr>
          <w:rFonts w:ascii="Arial" w:hAnsi="Arial" w:cs="Arial"/>
          <w:sz w:val="24"/>
          <w:szCs w:val="24"/>
        </w:rPr>
        <w:t xml:space="preserve"> de $2,256.40 a $25,564 a quien: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Venda o permita el consumo de bebidas alcohólicas sin alimentos en los establecimientos que así lo señala la ley;</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Venda o permita el consumo de bebidas alcohólicas a personas que se encuentren visiblemente en estado de ebriedad, bajo efectos psicotrópicos o con deficiencias mentales;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Permita la entrada a menores de edad a los establecimientos señalados en el artículo 15 de Ley para Regular la Venta y el Consumo de Bebidas Alcohólicas del Estado de Jalisco, salvo que se trate de eventos en los que no se vendan o con</w:t>
      </w:r>
      <w:r>
        <w:rPr>
          <w:rFonts w:ascii="Arial" w:hAnsi="Arial" w:cs="Arial"/>
          <w:sz w:val="24"/>
          <w:szCs w:val="24"/>
        </w:rPr>
        <w:t>suman bebidas alcohólicas;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Permita que la entrada del público a los establecimientos se lleve a cabo en desorden o perturband</w:t>
      </w:r>
      <w:r>
        <w:rPr>
          <w:rFonts w:ascii="Arial" w:hAnsi="Arial" w:cs="Arial"/>
          <w:sz w:val="24"/>
          <w:szCs w:val="24"/>
        </w:rPr>
        <w:t>o a vecinos y transeúntes;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5. Venda o suministre bebidas alcohólicas fuera </w:t>
      </w:r>
      <w:r>
        <w:rPr>
          <w:rFonts w:ascii="Arial" w:hAnsi="Arial" w:cs="Arial"/>
          <w:sz w:val="24"/>
          <w:szCs w:val="24"/>
        </w:rPr>
        <w:t>del local del establecimiento;</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6. Instale persianas, biombos, celosías o canceles que impidan la vista del exterior hacia el interior del establecimiento; y</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7. Venda bebidas alcohólicas en envase abierto y para su consumo inmediato en aquellos establecimientos cuya venta debe hacerse en envase cerrado, así como permitir su consumo</w:t>
      </w:r>
      <w:r>
        <w:rPr>
          <w:rFonts w:ascii="Arial" w:hAnsi="Arial" w:cs="Arial"/>
          <w:sz w:val="24"/>
          <w:szCs w:val="24"/>
        </w:rPr>
        <w:t xml:space="preserve"> en el interior del local.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8. A quien venda o permita el consumo de bebidas alcohólicas en contravención a los programas de prevención de accidentes aplicables en el local, cuando así lo establezcan los reglamentos municipales (Conductor designado, taxi seguro, control de</w:t>
      </w:r>
      <w:r>
        <w:rPr>
          <w:rFonts w:ascii="Arial" w:hAnsi="Arial" w:cs="Arial"/>
          <w:sz w:val="24"/>
          <w:szCs w:val="24"/>
        </w:rPr>
        <w:t xml:space="preserve"> salida con alcoholímetro)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9. A quien venda, suministre o permita el consumo de bebidas alcohólicas fuera del local del establecimiento: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d) A cualquier otro acto u omisión que infrinja la Ley para Regular la Venta y el Consumo de Bebidas Alcohólicas del Estado de Jalisco y que no se encuentre </w:t>
      </w:r>
      <w:r w:rsidRPr="006B7EB5">
        <w:rPr>
          <w:rFonts w:ascii="Arial" w:hAnsi="Arial" w:cs="Arial"/>
          <w:sz w:val="24"/>
          <w:szCs w:val="24"/>
        </w:rPr>
        <w:lastRenderedPageBreak/>
        <w:t>prevista en el presente capítulo, se le aplicará la multa prevista en el inciso anterior.</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e) Se impondrá multa</w:t>
      </w:r>
      <w:r>
        <w:rPr>
          <w:rFonts w:ascii="Arial" w:hAnsi="Arial" w:cs="Arial"/>
          <w:sz w:val="24"/>
          <w:szCs w:val="24"/>
        </w:rPr>
        <w:t xml:space="preserve"> de $5,112.80 a $51,128 a quien: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Almacene, distribuya, venda o consuma bebidas alcohólicas en los lugares prohibidos por la Ley para Regular la Venta y el Consumo de Bebidas Alcohólicas del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No retire a personas en estado de ebriedad del local, cuando causen desorden o actos que atenten contra la moral;</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No impida o en su caso, no denuncie actos que pongan en peligro el orden en los establecimientos;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Venda o suministre bebidas al</w:t>
      </w:r>
      <w:r>
        <w:rPr>
          <w:rFonts w:ascii="Arial" w:hAnsi="Arial" w:cs="Arial"/>
          <w:sz w:val="24"/>
          <w:szCs w:val="24"/>
        </w:rPr>
        <w:t>cohólicas a menores de edad;</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5. Venda o suministre bebidas alcohólicas a militares, policías o elementos de seguridad uniformados o en servicio,</w:t>
      </w:r>
      <w:r>
        <w:rPr>
          <w:rFonts w:ascii="Arial" w:hAnsi="Arial" w:cs="Arial"/>
          <w:sz w:val="24"/>
          <w:szCs w:val="24"/>
        </w:rPr>
        <w:t xml:space="preserve"> así como a personas armadas;</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6. Utilice el establecimiento para fines distintos a la actividad autorizada en la licencia;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7. Utilice el establecimiento como casa-habitación, vivienda, departamento u oficina o lo comunique con casa-habitación, comercios o locales ajenos, salvo las excepciones que establece la Ley para Regular la Venta y el Consumo de Bebidas Alcohóli</w:t>
      </w:r>
      <w:r>
        <w:rPr>
          <w:rFonts w:ascii="Arial" w:hAnsi="Arial" w:cs="Arial"/>
          <w:sz w:val="24"/>
          <w:szCs w:val="24"/>
        </w:rPr>
        <w:t>cas del Estado de Jalisco;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8. Realice, organice o promueva en los establecimientos o en cualquier otro lugar, concursos, eventos o torneos que requieran la ingestión excesiva de bebidas alcohólicas, desnaturalizando los principios de degustación, </w:t>
      </w:r>
      <w:proofErr w:type="spellStart"/>
      <w:r w:rsidRPr="006B7EB5">
        <w:rPr>
          <w:rFonts w:ascii="Arial" w:hAnsi="Arial" w:cs="Arial"/>
          <w:sz w:val="24"/>
          <w:szCs w:val="24"/>
        </w:rPr>
        <w:t>catación</w:t>
      </w:r>
      <w:proofErr w:type="spellEnd"/>
      <w:r w:rsidRPr="006B7EB5">
        <w:rPr>
          <w:rFonts w:ascii="Arial" w:hAnsi="Arial" w:cs="Arial"/>
          <w:sz w:val="24"/>
          <w:szCs w:val="24"/>
        </w:rPr>
        <w:t xml:space="preserve"> o cualquier otra manera destinada a evaluar la calidad de las bebidas, así como los eventos o promociones a que se refiere el artículo 46, párrafo 1, fracción X de la Ley para Regular la Venta y el Consumo de Bebidas Alcohólicas del Estado de Jalisco.</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9. Exija determinado consumo de bebidas alcohólicas para el ingreso al establecimiento o par</w:t>
      </w:r>
      <w:r>
        <w:rPr>
          <w:rFonts w:ascii="Arial" w:hAnsi="Arial" w:cs="Arial"/>
          <w:sz w:val="24"/>
          <w:szCs w:val="24"/>
        </w:rPr>
        <w:t>a la venta de alimentos; 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10. Permita que permanezca gente en el establecimiento después de la hora fijada para su cierre, de:</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f) Se impondrá multa de $10,225.60 a $102,256</w:t>
      </w:r>
      <w:r w:rsidRPr="006B7EB5">
        <w:rPr>
          <w:rFonts w:ascii="Arial" w:hAnsi="Arial" w:cs="Arial"/>
          <w:sz w:val="24"/>
          <w:szCs w:val="24"/>
        </w:rPr>
        <w:t xml:space="preserve"> y la clausura temporal del establecimiento a quien: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 Opere un establecimiento sin haber tramitado u obtenido la revalidación de la licencia;</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Opere sin haber obtenido previamente la autorización para el cambio de domicilio, nombre o giro del establecimiento;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3. Opere después de haber sido notificada </w:t>
      </w:r>
      <w:r>
        <w:rPr>
          <w:rFonts w:ascii="Arial" w:hAnsi="Arial" w:cs="Arial"/>
          <w:sz w:val="24"/>
          <w:szCs w:val="24"/>
        </w:rPr>
        <w:t>la revocación de la licencia;</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Abra algún establecimiento o utilice su domicilio para el almacenamiento, distribución, venta o consumo de bebidas alcohólicas, careciendo de licencia o del permiso provisional respectivo;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5. Instale compartimientos o secciones que se encuentren cerrados o que impidan la libre comunicación inte</w:t>
      </w:r>
      <w:r>
        <w:rPr>
          <w:rFonts w:ascii="Arial" w:hAnsi="Arial" w:cs="Arial"/>
          <w:sz w:val="24"/>
          <w:szCs w:val="24"/>
        </w:rPr>
        <w:t>rior del local; 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6. Ordene o permita que la entrada del público al establecimiento se realice en forma distinta al estricto orden de llegada, se falte al respeto al público o se realicen actos de discriminación, tratándose de los establecimientos señalados en el artículo 18, de la Ley para Regular la Venta y el Consumo de Bebidas Alcohólicas del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 xml:space="preserve">g) Se impondrá multa de $20,451.20 a $204,512 </w:t>
      </w:r>
      <w:r w:rsidRPr="006B7EB5">
        <w:rPr>
          <w:rFonts w:ascii="Arial" w:hAnsi="Arial" w:cs="Arial"/>
          <w:sz w:val="24"/>
          <w:szCs w:val="24"/>
        </w:rPr>
        <w:t xml:space="preserve"> y en su caso, la revocación de la licencia o del permiso provisional respectivo a quien:</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1. Venda o suministre bebidas alcohólicas adulteradas, contaminadas o alteradas en los términos de las disposiciones de salud aplicable;</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2. Carezca de vigilancia debidamente capacitada para dar seguridad a los concurrentes y vecinos del lugar, tratándose de los establecimientos señalados en el artículo 15 y 16, fracción III de la Ley para Regular la Venta y el Consumo de Bebidas Alcohóli</w:t>
      </w:r>
      <w:r>
        <w:rPr>
          <w:rFonts w:ascii="Arial" w:hAnsi="Arial" w:cs="Arial"/>
          <w:sz w:val="24"/>
          <w:szCs w:val="24"/>
        </w:rPr>
        <w:t>cas del Estado de Jalisco.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3. Impida o dificulte a las autoridades competentes la realización de inspecciones;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4. Venda bebidas alcohólicas en los días prohibidos en la Ley para Regular la Venta y el Consumo de Bebidas Alcohólicas del Estado de Jalisco o en los reglamentos municipales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5. Suministre datos falsos a las autoridades encargadas de la aplicación y vigilancia de la Ley para Regular la Venta y el Consumo de Bebidas Alcohólicas del Estado de Jalisco.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6. Enajene, traspase, arriende</w:t>
      </w:r>
      <w:r>
        <w:rPr>
          <w:rFonts w:ascii="Arial" w:hAnsi="Arial" w:cs="Arial"/>
          <w:sz w:val="24"/>
          <w:szCs w:val="24"/>
        </w:rPr>
        <w:t>, grave o afecte la licencia;</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7. Venda bebidas alcohólicas fuera de los horarios establecidos en los reglamentos municipales, o en su defecto, en la Ley para Regular la Venta y el Consumo de Bebidas Alcohól</w:t>
      </w:r>
      <w:r>
        <w:rPr>
          <w:rFonts w:ascii="Arial" w:hAnsi="Arial" w:cs="Arial"/>
          <w:sz w:val="24"/>
          <w:szCs w:val="24"/>
        </w:rPr>
        <w:t>icas del Estado de Jalisco;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8. Permita la realización en los establecimientos de juegos de azar prohibidos o el cruce de apuestas en juegos permitidos; y</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9. Permita la prostituc</w:t>
      </w:r>
      <w:r>
        <w:rPr>
          <w:rFonts w:ascii="Arial" w:hAnsi="Arial" w:cs="Arial"/>
          <w:sz w:val="24"/>
          <w:szCs w:val="24"/>
        </w:rPr>
        <w:t>ión en el establecimiento.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10. A quien venda o permita el consumo de bebidas alcohólicas fuera de los horarios establecidos en los reglamentos, o en la presente ley, según corresponda, y en su caso, la revocación de la licencia o del permiso provisional respectivo.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En el caso de que los montos de la multa señalada en los incisos anteriores sean menores a los determinados en la Ley para Regular la Venta y el Consumo de </w:t>
      </w:r>
      <w:r w:rsidRPr="006B7EB5">
        <w:rPr>
          <w:rFonts w:ascii="Arial" w:hAnsi="Arial" w:cs="Arial"/>
          <w:sz w:val="24"/>
          <w:szCs w:val="24"/>
        </w:rPr>
        <w:lastRenderedPageBreak/>
        <w:t xml:space="preserve">Bebidas Alcohólicas del Estado de Jalisco, se impondrán los montos previstos en la misma Ley.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cr/>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87.- A quienes adquieran bienes muebles o inmuebles, contraviniendo lo dispuesto en el artículo 301 de la Ley de Hacienda Municipal del Estado de Jalisco en vigor, se les sancionará con una multa, de:</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t xml:space="preserve"> </w:t>
      </w:r>
      <w:r>
        <w:rPr>
          <w:rFonts w:ascii="Arial" w:hAnsi="Arial" w:cs="Arial"/>
          <w:sz w:val="24"/>
          <w:szCs w:val="24"/>
        </w:rPr>
        <w:t xml:space="preserve">        $232.99</w:t>
      </w:r>
      <w:r w:rsidRPr="006B7EB5">
        <w:rPr>
          <w:rFonts w:ascii="Arial" w:hAnsi="Arial" w:cs="Arial"/>
          <w:sz w:val="24"/>
          <w:szCs w:val="24"/>
        </w:rPr>
        <w:t xml:space="preserve"> </w:t>
      </w:r>
      <w:r>
        <w:rPr>
          <w:rFonts w:ascii="Arial" w:hAnsi="Arial" w:cs="Arial"/>
          <w:sz w:val="24"/>
          <w:szCs w:val="24"/>
        </w:rPr>
        <w:t xml:space="preserve">a $1,309.60 </w:t>
      </w:r>
      <w:r>
        <w:rPr>
          <w:rFonts w:ascii="Arial" w:hAnsi="Arial" w:cs="Arial"/>
          <w:sz w:val="24"/>
          <w:szCs w:val="24"/>
        </w:rPr>
        <w:tab/>
        <w:t xml:space="preserve">  </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88.- Por violaciones a la Ley de Gestión Integral de los Residuos del Estado de Jalisco, se aplicarán las siguientes sanciones: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 Por realizar la clasificación manual de residuos e</w:t>
      </w:r>
      <w:r>
        <w:rPr>
          <w:rFonts w:ascii="Arial" w:hAnsi="Arial" w:cs="Arial"/>
          <w:sz w:val="24"/>
          <w:szCs w:val="24"/>
        </w:rPr>
        <w:t>n los rellenos sanitarios; De $1,460.80 a $365,200 vigente en el Municipio.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b) Por carecer de las autorizaciones correspondient</w:t>
      </w:r>
      <w:r>
        <w:rPr>
          <w:rFonts w:ascii="Arial" w:hAnsi="Arial" w:cs="Arial"/>
          <w:sz w:val="24"/>
          <w:szCs w:val="24"/>
        </w:rPr>
        <w:t>es establecidas en la Ley; De $1,460.80 a $365,200 vigente en el Municipio.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c) Por omitir la presentación de informes semestrales o anual</w:t>
      </w:r>
      <w:r>
        <w:rPr>
          <w:rFonts w:ascii="Arial" w:hAnsi="Arial" w:cs="Arial"/>
          <w:sz w:val="24"/>
          <w:szCs w:val="24"/>
        </w:rPr>
        <w:t>es establecidos en la Ley; de $1,460.80 a $365,200 vigente en el Municipio.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d) Por carecer del regis</w:t>
      </w:r>
      <w:r>
        <w:rPr>
          <w:rFonts w:ascii="Arial" w:hAnsi="Arial" w:cs="Arial"/>
          <w:sz w:val="24"/>
          <w:szCs w:val="24"/>
        </w:rPr>
        <w:t xml:space="preserve">tro establecido en la Ley; de $1,460.80 a $365,200 </w:t>
      </w:r>
      <w:r w:rsidRPr="006B7EB5">
        <w:rPr>
          <w:rFonts w:ascii="Arial" w:hAnsi="Arial" w:cs="Arial"/>
          <w:sz w:val="24"/>
          <w:szCs w:val="24"/>
        </w:rPr>
        <w:t xml:space="preserve"> vigente en el Municipio.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e) Por carecer de bitácoras de registro </w:t>
      </w:r>
      <w:r>
        <w:rPr>
          <w:rFonts w:ascii="Arial" w:hAnsi="Arial" w:cs="Arial"/>
          <w:sz w:val="24"/>
          <w:szCs w:val="24"/>
        </w:rPr>
        <w:t>en los términos de la Ley; de $1,460.80 a $365,200</w:t>
      </w:r>
      <w:r w:rsidRPr="006B7EB5">
        <w:rPr>
          <w:rFonts w:ascii="Arial" w:hAnsi="Arial" w:cs="Arial"/>
          <w:sz w:val="24"/>
          <w:szCs w:val="24"/>
        </w:rPr>
        <w:t>.</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f) Arrojar a la vía pública animales</w:t>
      </w:r>
      <w:r>
        <w:rPr>
          <w:rFonts w:ascii="Arial" w:hAnsi="Arial" w:cs="Arial"/>
          <w:sz w:val="24"/>
          <w:szCs w:val="24"/>
        </w:rPr>
        <w:t xml:space="preserve"> muertos o parte de ellos; de $1,460.80 a $365,200.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g) Por almacenar los residuos correspondientes sin sujeción a las normas oficiales mexicanas o los ordenamientos jurídi</w:t>
      </w:r>
      <w:r>
        <w:rPr>
          <w:rFonts w:ascii="Arial" w:hAnsi="Arial" w:cs="Arial"/>
          <w:sz w:val="24"/>
          <w:szCs w:val="24"/>
        </w:rPr>
        <w:t>cos del Estado de Jalisco: de $1,460.80 a $365,200</w:t>
      </w:r>
      <w:r w:rsidRPr="006B7EB5">
        <w:rPr>
          <w:rFonts w:ascii="Arial" w:hAnsi="Arial" w:cs="Arial"/>
          <w:sz w:val="24"/>
          <w:szCs w:val="24"/>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h) Por mezclar residuos sólidos urbanos y de manejo especial con residuos peligrosos contraviniendo lo dispuesto en la Ley General, en la del Estado y en los demás ordenamientos legale</w:t>
      </w:r>
      <w:r>
        <w:rPr>
          <w:rFonts w:ascii="Arial" w:hAnsi="Arial" w:cs="Arial"/>
          <w:sz w:val="24"/>
          <w:szCs w:val="24"/>
        </w:rPr>
        <w:t>s o normativos aplicables; de $1,460.80 a $365,200.</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Por depositar en los recipientes de almacenamiento de uso público o privado residuos que contengan sustancias tóxicas o peligrosas para la salud pública o aquellos que despidan olores desagradables: d</w:t>
      </w:r>
      <w:r>
        <w:rPr>
          <w:rFonts w:ascii="Arial" w:hAnsi="Arial" w:cs="Arial"/>
          <w:sz w:val="24"/>
          <w:szCs w:val="24"/>
        </w:rPr>
        <w:t>e $365,273.04 a $730,400</w:t>
      </w:r>
      <w:r w:rsidRPr="006B7EB5">
        <w:rPr>
          <w:rFonts w:ascii="Arial" w:hAnsi="Arial" w:cs="Arial"/>
          <w:sz w:val="24"/>
          <w:szCs w:val="24"/>
        </w:rPr>
        <w:t>.</w:t>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j) Por realizar la recolección de residuos de manejo especial sin cumplir con la normatividad vigent</w:t>
      </w:r>
      <w:r>
        <w:rPr>
          <w:rFonts w:ascii="Arial" w:hAnsi="Arial" w:cs="Arial"/>
          <w:sz w:val="24"/>
          <w:szCs w:val="24"/>
        </w:rPr>
        <w:t>e: de $365,273.04 a $730,400.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Default="00DA389F" w:rsidP="00DA389F">
      <w:pPr>
        <w:spacing w:line="360" w:lineRule="auto"/>
        <w:rPr>
          <w:rFonts w:ascii="Arial" w:hAnsi="Arial" w:cs="Arial"/>
          <w:sz w:val="24"/>
          <w:szCs w:val="24"/>
        </w:rPr>
      </w:pPr>
      <w:r w:rsidRPr="006B7EB5">
        <w:rPr>
          <w:rFonts w:ascii="Arial" w:hAnsi="Arial" w:cs="Arial"/>
          <w:sz w:val="24"/>
          <w:szCs w:val="24"/>
        </w:rPr>
        <w:t>k) Por crear basureros o tiraderos clandest</w:t>
      </w:r>
      <w:r>
        <w:rPr>
          <w:rFonts w:ascii="Arial" w:hAnsi="Arial" w:cs="Arial"/>
          <w:sz w:val="24"/>
          <w:szCs w:val="24"/>
        </w:rPr>
        <w:t>inos: de $730,473.04 a $1, 095,600.</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l) Por el depósito o confinamiento de residuos fuera de los sitios destinados para dicho fin en parques, áreas verdes, áreas de valor ambiental, áreas naturales protegidas, zonas rurales o áreas de conservación ecológica y otros lugares no autorizados</w:t>
      </w:r>
      <w:r>
        <w:rPr>
          <w:rFonts w:ascii="Arial" w:hAnsi="Arial" w:cs="Arial"/>
          <w:sz w:val="24"/>
          <w:szCs w:val="24"/>
        </w:rPr>
        <w:t>; de $730,473.04 a $1,095,600.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m) Por establecer sitios de disposición final de residuos sólidos urbanos o de manejo especial en lugares no autoriz</w:t>
      </w:r>
      <w:r>
        <w:rPr>
          <w:rFonts w:ascii="Arial" w:hAnsi="Arial" w:cs="Arial"/>
          <w:sz w:val="24"/>
          <w:szCs w:val="24"/>
        </w:rPr>
        <w:t>ados; de $730,473.04 a $1, 095,600.</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n) Por el confinamiento o depósito final de residuos en Estado líquido o con contenidos líquidos o de materia orgánica que excedan los máximos permitidos por las norma</w:t>
      </w:r>
      <w:r>
        <w:rPr>
          <w:rFonts w:ascii="Arial" w:hAnsi="Arial" w:cs="Arial"/>
          <w:sz w:val="24"/>
          <w:szCs w:val="24"/>
        </w:rPr>
        <w:t>s oficiales mexicanas, de $730,473.04 a $1,095,600</w:t>
      </w:r>
      <w:r w:rsidRPr="006B7EB5">
        <w:rPr>
          <w:rFonts w:ascii="Arial" w:hAnsi="Arial" w:cs="Arial"/>
          <w:sz w:val="24"/>
          <w:szCs w:val="24"/>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o) Realizar procesos de tratamiento de residuos sólidos urbanos sin cumplir con las disposiciones que establecen las normas oficiales mexicanas y las normas ambientales estatales en esta mat</w:t>
      </w:r>
      <w:r>
        <w:rPr>
          <w:rFonts w:ascii="Arial" w:hAnsi="Arial" w:cs="Arial"/>
          <w:sz w:val="24"/>
          <w:szCs w:val="24"/>
        </w:rPr>
        <w:t>eria; de $730,473.04 a $1</w:t>
      </w:r>
      <w:proofErr w:type="gramStart"/>
      <w:r>
        <w:rPr>
          <w:rFonts w:ascii="Arial" w:hAnsi="Arial" w:cs="Arial"/>
          <w:sz w:val="24"/>
          <w:szCs w:val="24"/>
        </w:rPr>
        <w:t>,095,600</w:t>
      </w:r>
      <w:proofErr w:type="gramEnd"/>
      <w:r>
        <w:rPr>
          <w:rFonts w:ascii="Arial" w:hAnsi="Arial" w:cs="Arial"/>
          <w:sz w:val="24"/>
          <w:szCs w:val="24"/>
        </w:rPr>
        <w:t>.</w:t>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p) Por la incineración de residuos en condiciones contrarias a las establecidas en las disposiciones legales correspondientes, y sin el permiso de las autoridades competentes</w:t>
      </w:r>
      <w:r>
        <w:rPr>
          <w:rFonts w:ascii="Arial" w:hAnsi="Arial" w:cs="Arial"/>
          <w:sz w:val="24"/>
          <w:szCs w:val="24"/>
        </w:rPr>
        <w:t>; de                  $1</w:t>
      </w:r>
      <w:proofErr w:type="gramStart"/>
      <w:r>
        <w:rPr>
          <w:rFonts w:ascii="Arial" w:hAnsi="Arial" w:cs="Arial"/>
          <w:sz w:val="24"/>
          <w:szCs w:val="24"/>
        </w:rPr>
        <w:t>,095,673.04</w:t>
      </w:r>
      <w:proofErr w:type="gramEnd"/>
      <w:r>
        <w:rPr>
          <w:rFonts w:ascii="Arial" w:hAnsi="Arial" w:cs="Arial"/>
          <w:sz w:val="24"/>
          <w:szCs w:val="24"/>
        </w:rPr>
        <w:t xml:space="preserve"> a $1,460,800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q) Por la dilución o mezcla de residuos sólidos urbanos o de manejo especial con líquidos para su vertimiento al sistema de alcantarillado, a cualquier cuerpo de agua o sobre suelos con o s</w:t>
      </w:r>
      <w:r>
        <w:rPr>
          <w:rFonts w:ascii="Arial" w:hAnsi="Arial" w:cs="Arial"/>
          <w:sz w:val="24"/>
          <w:szCs w:val="24"/>
        </w:rPr>
        <w:t>in cubierta vegetal; y De $1,095,673.04 a $1,460,800</w:t>
      </w:r>
      <w:r w:rsidRPr="006B7EB5">
        <w:rPr>
          <w:rFonts w:ascii="Arial" w:hAnsi="Arial" w:cs="Arial"/>
          <w:sz w:val="24"/>
          <w:szCs w:val="24"/>
        </w:rPr>
        <w:t>.</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89.- Todas aquellas infracciones por violaciones a esta Ley, demás Leyes y Ordenamientos Municipales, que no se encuentren previstas en los artículos anteriores, serán sancionadas, según la gravedad de la infracción, con una multa, de: </w:t>
      </w:r>
      <w:r w:rsidRPr="006B7EB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$57.70  a </w:t>
      </w:r>
      <w:r>
        <w:rPr>
          <w:rFonts w:ascii="Arial" w:hAnsi="Arial" w:cs="Arial"/>
          <w:sz w:val="24"/>
          <w:szCs w:val="24"/>
        </w:rPr>
        <w:tab/>
        <w:t xml:space="preserve"> $434.58 </w:t>
      </w:r>
      <w:r>
        <w:rPr>
          <w:rFonts w:ascii="Arial" w:hAnsi="Arial" w:cs="Arial"/>
          <w:sz w:val="24"/>
          <w:szCs w:val="24"/>
        </w:rPr>
        <w:tab/>
        <w:t xml:space="preserve"> </w:t>
      </w:r>
      <w:r w:rsidRPr="006B7EB5">
        <w:rPr>
          <w:rFonts w:ascii="Arial" w:hAnsi="Arial" w:cs="Arial"/>
          <w:sz w:val="24"/>
          <w:szCs w:val="24"/>
        </w:rPr>
        <w:t xml:space="preserve">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CAPITULO SEGUNDO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Aprovechamientos de capital</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90.- Los ingresos por concepto de aprovechamientos de capital son los que el Municipio percibe por: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 Intereses;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II. Reintegros o devoluciones;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Indemnizaciones a favor del Municipio;</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IV. Depósitos;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V. Otros aprovechamientos de</w:t>
      </w:r>
      <w:r>
        <w:rPr>
          <w:rFonts w:ascii="Arial" w:hAnsi="Arial" w:cs="Arial"/>
          <w:sz w:val="24"/>
          <w:szCs w:val="24"/>
        </w:rPr>
        <w:t xml:space="preserve"> capital no especificados.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Default="00DA389F" w:rsidP="00DA389F">
      <w:pPr>
        <w:spacing w:line="360" w:lineRule="auto"/>
        <w:rPr>
          <w:rFonts w:ascii="Arial" w:hAnsi="Arial" w:cs="Arial"/>
          <w:sz w:val="24"/>
          <w:szCs w:val="24"/>
        </w:rPr>
      </w:pPr>
      <w:r w:rsidRPr="006B7EB5">
        <w:rPr>
          <w:rFonts w:ascii="Arial" w:hAnsi="Arial" w:cs="Arial"/>
          <w:sz w:val="24"/>
          <w:szCs w:val="24"/>
        </w:rPr>
        <w:t>Artículo 91.- Cuando se concedan plazos para cubrir créditos fiscales, la tasa de interés será el costo porcentual promedio (C.P.P.), del mes inmediato anterior, que dete</w:t>
      </w:r>
      <w:r>
        <w:rPr>
          <w:rFonts w:ascii="Arial" w:hAnsi="Arial" w:cs="Arial"/>
          <w:sz w:val="24"/>
          <w:szCs w:val="24"/>
        </w:rPr>
        <w:t xml:space="preserve">rmine el Banco de México. </w:t>
      </w:r>
      <w:r>
        <w:rPr>
          <w:rFonts w:ascii="Arial" w:hAnsi="Arial" w:cs="Arial"/>
          <w:sz w:val="24"/>
          <w:szCs w:val="24"/>
        </w:rPr>
        <w:tab/>
      </w:r>
    </w:p>
    <w:p w:rsidR="00DA389F"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TÍTULO SÉPTIMO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Ingresos por ventas de bienes y servicios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ÚNICO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Ingresos por ventas de bienes y servicios de organismos paramunicipales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92.- El Municipio percibirá los ingresos por venta de bienes y servicios, de los recursos propios que obtienen las diversas entidades que conforman el sector paramunicipal y gobierno central por sus actividades de producción y/o comercialización, provenientes de los siguientes conceptos: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Ingresos por ventas de bienes y servicios producidos por organismos descentralizados;</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Ingresos de operación de entidades p</w:t>
      </w:r>
      <w:r>
        <w:rPr>
          <w:rFonts w:ascii="Arial" w:hAnsi="Arial" w:cs="Arial"/>
          <w:sz w:val="24"/>
          <w:szCs w:val="24"/>
        </w:rPr>
        <w:t>aramunicipales empresariales;</w:t>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Ingresos por ventas de bienes y servicios producidos en establecimientos del Gobierno Central.</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TÍTULO OCTAVO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Participaciones y aportaciones</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CAPÍTULO PRIMERO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las participaciones federales y estatales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93.- Las participaciones federales que correspondan al Municipio por concepto de impuestos, derechos, recargos o multas, exclusivos o de jurisdicción concurrente, se percibirán en los términos que se fijen en los convenios respectivos y en la Legis</w:t>
      </w:r>
      <w:r>
        <w:rPr>
          <w:rFonts w:ascii="Arial" w:hAnsi="Arial" w:cs="Arial"/>
          <w:sz w:val="24"/>
          <w:szCs w:val="24"/>
        </w:rPr>
        <w:t>lación Fiscal de la Federación.</w:t>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94.- Las participaciones estatales que correspondan al Municipio por concepto de impuestos, derechos, recargos o multas, exclusivos o de jurisdicción concurrente se percibirán en los términos que se fijen en los convenios respectivos y en la Legislación Fiscal del Estado. </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CAPITULO SEGUNDO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Aportaciones federales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lastRenderedPageBreak/>
        <w:t xml:space="preserve">Artículo 95- Las aportaciones federales que a través de los diferentes fondos, le correspondan al Municipio, se percibirán en los términos que establezcan, el Presupuesto de Egresos de la Federación, la Ley de Coordinación Fiscal y los convenios respectivos. </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TITULO NOVENO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De las transferencias, asignaciones, subsidios y otras ayudas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Artículo 96.- Los ingresos por concepto de transferencias, subsidios y otras ayudas son los que se perciben por:</w:t>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 Donativos, herencias y le</w:t>
      </w:r>
      <w:r>
        <w:rPr>
          <w:rFonts w:ascii="Arial" w:hAnsi="Arial" w:cs="Arial"/>
          <w:sz w:val="24"/>
          <w:szCs w:val="24"/>
        </w:rPr>
        <w:t>gados a favor del Municipio;</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 Subsidios provenientes de los Gobiernos Federales y Estatales, así como de Instituciones o particula</w:t>
      </w:r>
      <w:r>
        <w:rPr>
          <w:rFonts w:ascii="Arial" w:hAnsi="Arial" w:cs="Arial"/>
          <w:sz w:val="24"/>
          <w:szCs w:val="24"/>
        </w:rPr>
        <w:t>res a favor del Municipio;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III. Aportaciones de los Gobiernos Federal y Estatal, y de terceros, para obras y servicios de beneficio soc</w:t>
      </w:r>
      <w:r>
        <w:rPr>
          <w:rFonts w:ascii="Arial" w:hAnsi="Arial" w:cs="Arial"/>
          <w:sz w:val="24"/>
          <w:szCs w:val="24"/>
        </w:rPr>
        <w:t>ial a cargo del Municipio;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IV. Otras transferencias, asignaciones, subsidios y otras ayudas no especificadas.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TITULO DÉCIMO</w:t>
      </w: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Ingresos derivados de financiamientos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6B7EB5">
        <w:rPr>
          <w:rFonts w:ascii="Arial" w:hAnsi="Arial" w:cs="Arial"/>
          <w:sz w:val="24"/>
          <w:szCs w:val="24"/>
        </w:rPr>
        <w:t xml:space="preserve">Artículo 97.- El Municipio y las entidades de control directo podrán contratar obligaciones constitutivas de deuda pública interna, en los términos de la Ley de Deuda Pública </w:t>
      </w:r>
      <w:r>
        <w:rPr>
          <w:rFonts w:ascii="Arial" w:hAnsi="Arial" w:cs="Arial"/>
          <w:sz w:val="24"/>
          <w:szCs w:val="24"/>
        </w:rPr>
        <w:t xml:space="preserve">y Disciplina Financiera </w:t>
      </w:r>
      <w:r w:rsidRPr="006B7EB5">
        <w:rPr>
          <w:rFonts w:ascii="Arial" w:hAnsi="Arial" w:cs="Arial"/>
          <w:sz w:val="24"/>
          <w:szCs w:val="24"/>
        </w:rPr>
        <w:t xml:space="preserve">del Estado de Jalisco y sus Municipios y para el financiamiento del Presupuesto de Egresos del Municipio para el Ejercicio Fiscal </w:t>
      </w:r>
      <w:r>
        <w:rPr>
          <w:rFonts w:ascii="Arial" w:hAnsi="Arial" w:cs="Arial"/>
          <w:sz w:val="24"/>
          <w:szCs w:val="24"/>
        </w:rPr>
        <w:t>2018</w:t>
      </w:r>
      <w:r w:rsidRPr="006B7EB5">
        <w:rPr>
          <w:rFonts w:ascii="Arial" w:hAnsi="Arial" w:cs="Arial"/>
          <w:sz w:val="24"/>
          <w:szCs w:val="24"/>
        </w:rPr>
        <w:t>.</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jc w:val="center"/>
        <w:rPr>
          <w:rFonts w:ascii="Arial" w:hAnsi="Arial" w:cs="Arial"/>
          <w:b/>
          <w:sz w:val="24"/>
          <w:szCs w:val="24"/>
        </w:rPr>
      </w:pPr>
      <w:r w:rsidRPr="006B7EB5">
        <w:rPr>
          <w:rFonts w:ascii="Arial" w:hAnsi="Arial" w:cs="Arial"/>
          <w:b/>
          <w:sz w:val="24"/>
          <w:szCs w:val="24"/>
        </w:rPr>
        <w:t>TRANSITORIOS</w:t>
      </w:r>
    </w:p>
    <w:p w:rsidR="00DA389F" w:rsidRPr="006B7EB5" w:rsidRDefault="00DA389F" w:rsidP="00DA389F">
      <w:pPr>
        <w:spacing w:line="360" w:lineRule="auto"/>
        <w:rPr>
          <w:rFonts w:ascii="Arial" w:hAnsi="Arial" w:cs="Arial"/>
          <w:sz w:val="24"/>
          <w:szCs w:val="24"/>
        </w:rPr>
      </w:pPr>
    </w:p>
    <w:p w:rsidR="00DA389F" w:rsidRPr="006B7EB5" w:rsidRDefault="00DA389F" w:rsidP="00DA389F">
      <w:pPr>
        <w:spacing w:line="360" w:lineRule="auto"/>
        <w:rPr>
          <w:rFonts w:ascii="Arial" w:hAnsi="Arial" w:cs="Arial"/>
          <w:sz w:val="24"/>
          <w:szCs w:val="24"/>
        </w:rPr>
      </w:pPr>
      <w:r w:rsidRPr="00E940E1">
        <w:rPr>
          <w:rFonts w:ascii="Arial" w:hAnsi="Arial" w:cs="Arial"/>
          <w:b/>
          <w:sz w:val="24"/>
          <w:szCs w:val="24"/>
        </w:rPr>
        <w:lastRenderedPageBreak/>
        <w:t>PRIMERO</w:t>
      </w:r>
      <w:r w:rsidRPr="006B7EB5">
        <w:rPr>
          <w:rFonts w:ascii="Arial" w:hAnsi="Arial" w:cs="Arial"/>
          <w:sz w:val="24"/>
          <w:szCs w:val="24"/>
        </w:rPr>
        <w:t>.- El presente decreto entrará en vigor al día siguiente de su publicación en el Periódico Oficial “El Estado de Jali</w:t>
      </w:r>
      <w:r>
        <w:rPr>
          <w:rFonts w:ascii="Arial" w:hAnsi="Arial" w:cs="Arial"/>
          <w:sz w:val="24"/>
          <w:szCs w:val="24"/>
        </w:rPr>
        <w:t xml:space="preserve">sco”.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E940E1">
        <w:rPr>
          <w:rFonts w:ascii="Arial" w:hAnsi="Arial" w:cs="Arial"/>
          <w:b/>
          <w:sz w:val="24"/>
          <w:szCs w:val="24"/>
        </w:rPr>
        <w:t>SEGUNDO</w:t>
      </w:r>
      <w:r w:rsidRPr="006B7EB5">
        <w:rPr>
          <w:rFonts w:ascii="Arial" w:hAnsi="Arial" w:cs="Arial"/>
          <w:sz w:val="24"/>
          <w:szCs w:val="24"/>
        </w:rPr>
        <w:t>.- Se exime a los contribuyentes la obligación de anexar a los avisos traslativos de dominio de regularizaciones de  la Comisión para la Regularización de la Tenencia de la Tierra (CORETT), del Programa de Certificación de Derechos Ejidales (PROCEDE) y/o FANAR o de la Comisión Especial Transitoria para la Regularización de Fraccionamientos o Asentamientos Irregulares en Predios de Propiedad Privada en el Municipio, mediante los Decretos 16664, 19580 y 20920, emitidos por el Congreso del Estado de Jalisco, el avalúo a que se refiere el artículo 119 fracción I, de la Ley de Hacienda Municipal y el artículo 81 fracción I, de la Ley de Catastro Municipal del Estado de Jalisco.</w:t>
      </w:r>
      <w:r w:rsidRPr="006B7EB5">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E940E1">
        <w:rPr>
          <w:rFonts w:ascii="Arial" w:hAnsi="Arial" w:cs="Arial"/>
          <w:b/>
          <w:sz w:val="24"/>
          <w:szCs w:val="24"/>
        </w:rPr>
        <w:t>TERCERO</w:t>
      </w:r>
      <w:r w:rsidRPr="006B7EB5">
        <w:rPr>
          <w:rFonts w:ascii="Arial" w:hAnsi="Arial" w:cs="Arial"/>
          <w:sz w:val="24"/>
          <w:szCs w:val="24"/>
        </w:rPr>
        <w:t>.- Cuando en otras Leyes se haga referencia al Tesorero, Tesorería, Ayuntamiento y Secretario del Ayuntamiento, se deberá entender que se refieren al encargado de la Hacienda Municipal, a la Hacienda Municipal, al órgano de gobierno del Municipio y al servidor público encargado de la Secretaría respectivamente, cualquiera que sea su denominación en los reg</w:t>
      </w:r>
      <w:r w:rsidR="005C726E">
        <w:rPr>
          <w:rFonts w:ascii="Arial" w:hAnsi="Arial" w:cs="Arial"/>
          <w:sz w:val="24"/>
          <w:szCs w:val="24"/>
        </w:rPr>
        <w:t>lamentos correspondientes.</w:t>
      </w:r>
      <w:r w:rsidR="005C726E">
        <w:rPr>
          <w:rFonts w:ascii="Arial" w:hAnsi="Arial" w:cs="Arial"/>
          <w:sz w:val="24"/>
          <w:szCs w:val="24"/>
        </w:rPr>
        <w:tab/>
      </w:r>
    </w:p>
    <w:p w:rsidR="00DA389F" w:rsidRPr="006B7EB5" w:rsidRDefault="00DA389F" w:rsidP="00DA389F">
      <w:pPr>
        <w:spacing w:line="360" w:lineRule="auto"/>
        <w:rPr>
          <w:rFonts w:ascii="Arial" w:hAnsi="Arial" w:cs="Arial"/>
          <w:sz w:val="24"/>
          <w:szCs w:val="24"/>
        </w:rPr>
      </w:pPr>
      <w:r w:rsidRPr="00E940E1">
        <w:rPr>
          <w:rFonts w:ascii="Arial" w:hAnsi="Arial" w:cs="Arial"/>
          <w:b/>
          <w:sz w:val="24"/>
          <w:szCs w:val="24"/>
        </w:rPr>
        <w:t>CUARTO</w:t>
      </w:r>
      <w:r w:rsidRPr="006B7EB5">
        <w:rPr>
          <w:rFonts w:ascii="Arial" w:hAnsi="Arial" w:cs="Arial"/>
          <w:sz w:val="24"/>
          <w:szCs w:val="24"/>
        </w:rPr>
        <w:t xml:space="preserve">.- De conformidad con los artículos 60 y 61 de la Ley de Catastro Municipal del Estado de Jalisco, la determinación de las contribuciones inmobiliarias a favor de este Municipio se realizará de conformidad a los valores unitarios aprobados por el H. Congreso del Estado de Jalisco para el ejercicio fiscal </w:t>
      </w:r>
      <w:r>
        <w:rPr>
          <w:rFonts w:ascii="Arial" w:hAnsi="Arial" w:cs="Arial"/>
          <w:sz w:val="24"/>
          <w:szCs w:val="24"/>
        </w:rPr>
        <w:t>2018</w:t>
      </w:r>
      <w:r w:rsidRPr="006B7EB5">
        <w:rPr>
          <w:rFonts w:ascii="Arial" w:hAnsi="Arial" w:cs="Arial"/>
          <w:sz w:val="24"/>
          <w:szCs w:val="24"/>
        </w:rPr>
        <w:t>, a falta de éstos, se prorrogará la aplic</w:t>
      </w:r>
      <w:r w:rsidR="005C726E">
        <w:rPr>
          <w:rFonts w:ascii="Arial" w:hAnsi="Arial" w:cs="Arial"/>
          <w:sz w:val="24"/>
          <w:szCs w:val="24"/>
        </w:rPr>
        <w:t xml:space="preserve">ación de los valores vigentes. </w:t>
      </w:r>
    </w:p>
    <w:p w:rsidR="00DA389F" w:rsidRPr="006B7EB5" w:rsidRDefault="00DA389F" w:rsidP="00DA389F">
      <w:pPr>
        <w:spacing w:line="360" w:lineRule="auto"/>
        <w:rPr>
          <w:rFonts w:ascii="Arial" w:hAnsi="Arial" w:cs="Arial"/>
          <w:sz w:val="24"/>
          <w:szCs w:val="24"/>
        </w:rPr>
      </w:pPr>
      <w:r>
        <w:rPr>
          <w:rFonts w:ascii="Arial" w:hAnsi="Arial" w:cs="Arial"/>
          <w:b/>
          <w:sz w:val="24"/>
          <w:szCs w:val="24"/>
        </w:rPr>
        <w:t>QUINTO</w:t>
      </w:r>
      <w:r w:rsidRPr="006B7EB5">
        <w:rPr>
          <w:rFonts w:ascii="Arial" w:hAnsi="Arial" w:cs="Arial"/>
          <w:sz w:val="24"/>
          <w:szCs w:val="24"/>
        </w:rPr>
        <w:t>.-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w:t>
      </w:r>
      <w:r>
        <w:rPr>
          <w:rFonts w:ascii="Arial" w:hAnsi="Arial" w:cs="Arial"/>
          <w:sz w:val="24"/>
          <w:szCs w:val="24"/>
        </w:rPr>
        <w:t>nalidad en su aplicación.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A389F" w:rsidRDefault="00DA389F" w:rsidP="005C726E">
      <w:pPr>
        <w:spacing w:line="360" w:lineRule="auto"/>
        <w:rPr>
          <w:rFonts w:ascii="Arial" w:hAnsi="Arial" w:cs="Arial"/>
          <w:sz w:val="24"/>
          <w:szCs w:val="24"/>
          <w:lang w:val="es-ES_tradnl" w:eastAsia="es-ES"/>
        </w:rPr>
      </w:pPr>
      <w:r w:rsidRPr="00E940E1">
        <w:rPr>
          <w:rFonts w:ascii="Arial" w:hAnsi="Arial" w:cs="Arial"/>
          <w:b/>
          <w:sz w:val="24"/>
          <w:szCs w:val="24"/>
        </w:rPr>
        <w:t>SEXTO</w:t>
      </w:r>
      <w:r w:rsidRPr="006B7EB5">
        <w:rPr>
          <w:rFonts w:ascii="Arial" w:hAnsi="Arial" w:cs="Arial"/>
          <w:sz w:val="24"/>
          <w:szCs w:val="24"/>
        </w:rPr>
        <w:t>.- El cobro de derechos y productos deberán estar a lo dispuesto en el artículo 4, octavo párrafo Constitucional; 141, cuarto párrafo de la Ley General de Transparencia y Acceso a la Información y demás normatividad co</w:t>
      </w:r>
      <w:r>
        <w:rPr>
          <w:rFonts w:ascii="Arial" w:hAnsi="Arial" w:cs="Arial"/>
          <w:sz w:val="24"/>
          <w:szCs w:val="24"/>
        </w:rPr>
        <w:t>rrespondiente.</w:t>
      </w:r>
    </w:p>
    <w:p w:rsidR="005C726E" w:rsidRPr="0005616C" w:rsidRDefault="005C726E" w:rsidP="005C726E">
      <w:pPr>
        <w:spacing w:line="360" w:lineRule="auto"/>
        <w:rPr>
          <w:rFonts w:ascii="Arial" w:hAnsi="Arial" w:cs="Arial"/>
          <w:sz w:val="24"/>
          <w:szCs w:val="24"/>
          <w:highlight w:val="green"/>
        </w:rPr>
      </w:pPr>
      <w:r w:rsidRPr="0005616C">
        <w:rPr>
          <w:rFonts w:ascii="Arial" w:hAnsi="Arial" w:cs="Arial"/>
          <w:b/>
          <w:sz w:val="24"/>
          <w:szCs w:val="24"/>
          <w:highlight w:val="green"/>
        </w:rPr>
        <w:lastRenderedPageBreak/>
        <w:t>SÉPTIMO.-</w:t>
      </w:r>
      <w:r w:rsidRPr="0005616C">
        <w:rPr>
          <w:rFonts w:ascii="Arial" w:hAnsi="Arial" w:cs="Arial"/>
          <w:sz w:val="24"/>
          <w:szCs w:val="24"/>
          <w:highlight w:val="green"/>
        </w:rPr>
        <w:t xml:space="preserve"> Hasta en tanto entre en vigor el sistema estatal anticorrupción, seguirá aplicándose el siguiente criterio:</w:t>
      </w:r>
    </w:p>
    <w:p w:rsidR="005C726E" w:rsidRPr="005C726E" w:rsidRDefault="005C726E" w:rsidP="005C726E">
      <w:pPr>
        <w:spacing w:line="360" w:lineRule="auto"/>
        <w:rPr>
          <w:rFonts w:ascii="Arial" w:hAnsi="Arial" w:cs="Arial"/>
          <w:sz w:val="24"/>
          <w:szCs w:val="24"/>
          <w:lang w:val="es-ES_tradnl" w:eastAsia="es-ES"/>
        </w:rPr>
      </w:pPr>
      <w:r w:rsidRPr="0005616C">
        <w:rPr>
          <w:rFonts w:ascii="Arial" w:hAnsi="Arial" w:cs="Arial"/>
          <w:sz w:val="24"/>
          <w:szCs w:val="24"/>
          <w:highlight w:val="green"/>
        </w:rPr>
        <w:t>Para los efectos de esta ley, las responsabilidades pecuniarias que cuantifique la Auditoría Superior del Estado de Jalisco, en contra de servidores públicos municipales, se equipararán a créditos fiscales, previa la aprobación del Congreso del Estado; en consecuencia, la Hacienda Municipal tendrá la obligación de hacerlos efectivos.</w:t>
      </w:r>
    </w:p>
    <w:p w:rsidR="00DA389F" w:rsidRPr="009A7333" w:rsidRDefault="00DA389F" w:rsidP="00DA389F">
      <w:pPr>
        <w:rPr>
          <w:lang w:val="es-ES_tradnl"/>
        </w:rPr>
      </w:pPr>
    </w:p>
    <w:p w:rsidR="00DA389F" w:rsidRPr="00010BF7" w:rsidRDefault="00DA389F" w:rsidP="00DA389F">
      <w:pPr>
        <w:spacing w:line="360" w:lineRule="auto"/>
        <w:jc w:val="center"/>
        <w:rPr>
          <w:rFonts w:ascii="Arial" w:hAnsi="Arial" w:cs="Arial"/>
          <w:sz w:val="20"/>
          <w:szCs w:val="20"/>
          <w:lang w:val="es-ES_tradnl"/>
        </w:rPr>
      </w:pPr>
    </w:p>
    <w:p w:rsidR="00DA389F" w:rsidRDefault="00DA389F"/>
    <w:sectPr w:rsidR="00DA38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1DA" w:rsidRDefault="008961DA" w:rsidP="00E63DEF">
      <w:r>
        <w:separator/>
      </w:r>
    </w:p>
  </w:endnote>
  <w:endnote w:type="continuationSeparator" w:id="0">
    <w:p w:rsidR="008961DA" w:rsidRDefault="008961DA" w:rsidP="00E6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1DA" w:rsidRDefault="008961DA" w:rsidP="00E63DEF">
      <w:r>
        <w:separator/>
      </w:r>
    </w:p>
  </w:footnote>
  <w:footnote w:type="continuationSeparator" w:id="0">
    <w:p w:rsidR="008961DA" w:rsidRDefault="008961DA" w:rsidP="00E63DEF">
      <w:r>
        <w:continuationSeparator/>
      </w:r>
    </w:p>
  </w:footnote>
  <w:footnote w:id="1">
    <w:p w:rsidR="008961DA" w:rsidRPr="001D7057" w:rsidRDefault="008961DA" w:rsidP="00BB17A0">
      <w:pPr>
        <w:pStyle w:val="Textonotapie"/>
        <w:jc w:val="both"/>
        <w:rPr>
          <w:sz w:val="14"/>
        </w:rPr>
      </w:pPr>
      <w:r w:rsidRPr="001D7057">
        <w:rPr>
          <w:rStyle w:val="Refdenotaalpie"/>
          <w:sz w:val="14"/>
        </w:rPr>
        <w:footnoteRef/>
      </w:r>
      <w:r w:rsidRPr="001D7057">
        <w:rPr>
          <w:sz w:val="14"/>
        </w:rPr>
        <w:t xml:space="preserve"> Ley Federal De Presupuesto Y Responsabilidad Hacendaria Artículo 42 Fracción I</w:t>
      </w:r>
      <w:r>
        <w:rPr>
          <w:sz w:val="14"/>
        </w:rPr>
        <w:t>,</w:t>
      </w:r>
      <w:r w:rsidRPr="001D7057">
        <w:rPr>
          <w:sz w:val="14"/>
        </w:rPr>
        <w:t xml:space="preserve"> El Ejecutivo Federal, por conducto de la Secretaría, deberá enviar al Congreso de la Unión a más tardar el 1 de abril, un documento que presente los siguientes elementos: a) Los principales objetivos para la Ley de Ingresos y el Presupuesto de Egresos del año siguiente; b) Escenarios sobre las principales variables macroeconómicas para el siguiente año: crecimiento, inflación, tasa de interés y precio del petróleo; c) Escenarios sobre el monto total del Presupuesto de Egresos y su déficit o superávit; d) Enumeración de los programas prioritarios y sus montos.</w:t>
      </w:r>
    </w:p>
    <w:p w:rsidR="008961DA" w:rsidRPr="001D7057" w:rsidRDefault="008961DA" w:rsidP="00BB17A0">
      <w:pPr>
        <w:pStyle w:val="Textonotapie"/>
        <w:jc w:val="both"/>
        <w:rPr>
          <w:sz w:val="14"/>
        </w:rPr>
      </w:pPr>
    </w:p>
  </w:footnote>
  <w:footnote w:id="2">
    <w:p w:rsidR="008961DA" w:rsidRDefault="008961DA" w:rsidP="00BB17A0">
      <w:pPr>
        <w:pStyle w:val="Textonotapie"/>
        <w:jc w:val="both"/>
      </w:pPr>
      <w:r w:rsidRPr="001D7057">
        <w:rPr>
          <w:rStyle w:val="Refdenotaalpie"/>
          <w:sz w:val="14"/>
        </w:rPr>
        <w:footnoteRef/>
      </w:r>
      <w:r w:rsidRPr="001D7057">
        <w:rPr>
          <w:sz w:val="14"/>
        </w:rPr>
        <w:t xml:space="preserve"> Ley Federal De Presupuesto Y Responsabilidad Hacendaria Artículo 42 Fracción III, El Ejecutivo Federal remitirá al Congreso de la Unión, a más tardar el 8 de septiembre de cada año: a) Los criterios generales de política económica en los términos del artículo 16 de esta Ley, así como la estimación del precio de la mezcla de petróleo mexicano para el ejercicio fiscal que se presupuesta determinada conforme a lo dispuesto en el artículo 31 de esta Ley;</w:t>
      </w:r>
    </w:p>
  </w:footnote>
  <w:footnote w:id="3">
    <w:p w:rsidR="008961DA" w:rsidRPr="00F960E5" w:rsidRDefault="008961DA" w:rsidP="00BB17A0">
      <w:pPr>
        <w:pStyle w:val="Textonotapie"/>
        <w:jc w:val="both"/>
        <w:rPr>
          <w:sz w:val="14"/>
          <w:szCs w:val="14"/>
        </w:rPr>
      </w:pPr>
      <w:r w:rsidRPr="00F960E5">
        <w:rPr>
          <w:rStyle w:val="Refdenotaalpie"/>
          <w:sz w:val="14"/>
          <w:szCs w:val="14"/>
        </w:rPr>
        <w:footnoteRef/>
      </w:r>
      <w:r w:rsidRPr="00F960E5">
        <w:rPr>
          <w:sz w:val="14"/>
          <w:szCs w:val="14"/>
        </w:rPr>
        <w:t xml:space="preserve"> http://www.banxico.org.mx/portal-inflacion/inflacion.html</w:t>
      </w:r>
    </w:p>
  </w:footnote>
  <w:footnote w:id="4">
    <w:p w:rsidR="008961DA" w:rsidRDefault="008961DA" w:rsidP="00BB17A0">
      <w:pPr>
        <w:pStyle w:val="Textonotapie"/>
        <w:jc w:val="both"/>
        <w:rPr>
          <w:sz w:val="14"/>
          <w:szCs w:val="14"/>
        </w:rPr>
      </w:pPr>
      <w:r w:rsidRPr="00F960E5">
        <w:rPr>
          <w:rStyle w:val="Refdenotaalpie"/>
          <w:sz w:val="14"/>
          <w:szCs w:val="14"/>
        </w:rPr>
        <w:footnoteRef/>
      </w:r>
      <w:r w:rsidRPr="00F960E5">
        <w:rPr>
          <w:sz w:val="14"/>
          <w:szCs w:val="14"/>
        </w:rPr>
        <w:t xml:space="preserve"> Inflación: Es la tasa de crecimiento promedio de un período a otro de los precios de una canasta de bienes y servicios. </w:t>
      </w:r>
    </w:p>
    <w:p w:rsidR="008961DA" w:rsidRDefault="008961DA" w:rsidP="00BB17A0">
      <w:pPr>
        <w:pStyle w:val="Textonotapie"/>
        <w:jc w:val="both"/>
        <w:rPr>
          <w:sz w:val="14"/>
          <w:szCs w:val="14"/>
        </w:rPr>
      </w:pPr>
      <w:r w:rsidRPr="00F960E5">
        <w:rPr>
          <w:sz w:val="14"/>
          <w:szCs w:val="14"/>
        </w:rPr>
        <w:t xml:space="preserve">Inflación subyacente: Es una clasificación de gran utilidad para tomar decisiones de política económica y para la elaboración de predicciones sobre la inflación, debido a que los bienes y servicios que integran la canasta con la que se mide dicha inflación no están sujetos a decisiones de carácter administrativo, marcada estacionalidad o alta volatilidad; compuesta por Alimentos, bebidas y tabaco, mercancías no alimenticias, vivienda, educación (colegiaturas), otros servicios. </w:t>
      </w:r>
    </w:p>
    <w:p w:rsidR="008961DA" w:rsidRDefault="008961DA" w:rsidP="00BB17A0">
      <w:pPr>
        <w:pStyle w:val="Textonotapie"/>
        <w:jc w:val="both"/>
      </w:pPr>
      <w:r w:rsidRPr="00F960E5">
        <w:rPr>
          <w:sz w:val="14"/>
          <w:szCs w:val="14"/>
        </w:rPr>
        <w:t>Inflación NO subyacente: Bienes y servicios que integran la canasta con la que se mide dicha inflación están sujetos a decisiones de carácter administrativo, poca estacionalidad y alta volatilidad; compuesta por f</w:t>
      </w:r>
      <w:r>
        <w:rPr>
          <w:sz w:val="14"/>
          <w:szCs w:val="14"/>
        </w:rPr>
        <w:t>rutas,</w:t>
      </w:r>
      <w:r w:rsidRPr="00F960E5">
        <w:rPr>
          <w:sz w:val="14"/>
          <w:szCs w:val="14"/>
        </w:rPr>
        <w:t xml:space="preserve"> verduras</w:t>
      </w:r>
      <w:r>
        <w:rPr>
          <w:sz w:val="14"/>
          <w:szCs w:val="14"/>
        </w:rPr>
        <w:t>, carnes,</w:t>
      </w:r>
      <w:r w:rsidRPr="00F960E5">
        <w:rPr>
          <w:sz w:val="14"/>
          <w:szCs w:val="14"/>
        </w:rPr>
        <w:t xml:space="preserve"> huevo</w:t>
      </w:r>
      <w:r>
        <w:rPr>
          <w:sz w:val="14"/>
          <w:szCs w:val="14"/>
        </w:rPr>
        <w:t>,</w:t>
      </w:r>
      <w:r w:rsidRPr="00F960E5">
        <w:rPr>
          <w:sz w:val="14"/>
          <w:szCs w:val="14"/>
        </w:rPr>
        <w:t xml:space="preserve"> Energéticos y Tarifas Autorizadas por el Gobierno</w:t>
      </w:r>
      <w:r>
        <w:t xml:space="preserve"> </w:t>
      </w:r>
    </w:p>
  </w:footnote>
  <w:footnote w:id="5">
    <w:p w:rsidR="008961DA" w:rsidRPr="006E6270" w:rsidRDefault="008961DA" w:rsidP="00BB17A0">
      <w:pPr>
        <w:pStyle w:val="Textonotapie"/>
        <w:rPr>
          <w:sz w:val="14"/>
          <w:szCs w:val="14"/>
        </w:rPr>
      </w:pPr>
      <w:r w:rsidRPr="006E6270">
        <w:rPr>
          <w:rStyle w:val="Refdenotaalpie"/>
          <w:sz w:val="14"/>
          <w:szCs w:val="14"/>
        </w:rPr>
        <w:footnoteRef/>
      </w:r>
      <w:r w:rsidRPr="006E6270">
        <w:rPr>
          <w:sz w:val="14"/>
          <w:szCs w:val="14"/>
        </w:rPr>
        <w:t xml:space="preserve"> http://www.shcp.gob.mx/POLITICAFINANCIERA/FINANZASPUBLICAS/Estadisticas_Oportunas_Finanzas_Publicas/Paginas/unica2.aspx</w:t>
      </w:r>
    </w:p>
  </w:footnote>
  <w:footnote w:id="6">
    <w:p w:rsidR="008961DA" w:rsidRPr="00251F0E" w:rsidRDefault="008961DA" w:rsidP="00E63DEF">
      <w:pPr>
        <w:pStyle w:val="Textonotapie"/>
        <w:rPr>
          <w:lang w:val="es-MX"/>
        </w:rPr>
      </w:pPr>
      <w:r>
        <w:rPr>
          <w:rStyle w:val="Refdenotaalpie"/>
        </w:rPr>
        <w:footnoteRef/>
      </w:r>
      <w:r>
        <w:t xml:space="preserve"> </w:t>
      </w:r>
      <w:r w:rsidRPr="00251F0E">
        <w:t>http://www.coneval.org.mx/Medicion/MP/Paginas/Lineas-de-bienestar-y-canasta-basica.aspx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96F"/>
    <w:multiLevelType w:val="hybridMultilevel"/>
    <w:tmpl w:val="5CEC5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6C1767"/>
    <w:multiLevelType w:val="hybridMultilevel"/>
    <w:tmpl w:val="10DC16EA"/>
    <w:lvl w:ilvl="0" w:tplc="6CEAE878">
      <w:start w:val="1"/>
      <w:numFmt w:val="lowerLetter"/>
      <w:lvlText w:val="%1)"/>
      <w:lvlJc w:val="left"/>
      <w:pPr>
        <w:ind w:left="1080" w:hanging="360"/>
      </w:pPr>
      <w:rPr>
        <w:rFonts w:hint="default"/>
        <w:b/>
      </w:rPr>
    </w:lvl>
    <w:lvl w:ilvl="1" w:tplc="080A001B">
      <w:start w:val="1"/>
      <w:numFmt w:val="lowerRoman"/>
      <w:lvlText w:val="%2."/>
      <w:lvlJc w:val="righ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DAF05C9"/>
    <w:multiLevelType w:val="hybridMultilevel"/>
    <w:tmpl w:val="33A80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73C0D74"/>
    <w:multiLevelType w:val="hybridMultilevel"/>
    <w:tmpl w:val="BA56F0E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4C4F2F8A"/>
    <w:multiLevelType w:val="hybridMultilevel"/>
    <w:tmpl w:val="7E283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DE7EBF"/>
    <w:multiLevelType w:val="hybridMultilevel"/>
    <w:tmpl w:val="7BB098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7914927"/>
    <w:multiLevelType w:val="hybridMultilevel"/>
    <w:tmpl w:val="FECA2BFE"/>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DEF"/>
    <w:rsid w:val="0005616C"/>
    <w:rsid w:val="00175DED"/>
    <w:rsid w:val="00195260"/>
    <w:rsid w:val="001A2633"/>
    <w:rsid w:val="00225A50"/>
    <w:rsid w:val="002D27B3"/>
    <w:rsid w:val="00393DC2"/>
    <w:rsid w:val="004F0735"/>
    <w:rsid w:val="00512507"/>
    <w:rsid w:val="005470F8"/>
    <w:rsid w:val="005C726E"/>
    <w:rsid w:val="00766F41"/>
    <w:rsid w:val="008961DA"/>
    <w:rsid w:val="00907CAB"/>
    <w:rsid w:val="00947747"/>
    <w:rsid w:val="00976705"/>
    <w:rsid w:val="009C2E58"/>
    <w:rsid w:val="00BB17A0"/>
    <w:rsid w:val="00D8140E"/>
    <w:rsid w:val="00DA389F"/>
    <w:rsid w:val="00DE6326"/>
    <w:rsid w:val="00E63DEF"/>
    <w:rsid w:val="00E674CE"/>
    <w:rsid w:val="00FA02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DEF"/>
    <w:pPr>
      <w:spacing w:after="0" w:line="240" w:lineRule="auto"/>
      <w:jc w:val="both"/>
    </w:pPr>
    <w:rPr>
      <w:rFonts w:ascii="Calibri" w:eastAsia="Calibri" w:hAnsi="Calibri" w:cs="Calibri"/>
    </w:rPr>
  </w:style>
  <w:style w:type="paragraph" w:styleId="Ttulo4">
    <w:name w:val="heading 4"/>
    <w:basedOn w:val="Normal"/>
    <w:next w:val="Normal"/>
    <w:link w:val="Ttulo4Car"/>
    <w:uiPriority w:val="99"/>
    <w:qFormat/>
    <w:rsid w:val="00DA389F"/>
    <w:pPr>
      <w:keepNext/>
      <w:outlineLvl w:val="3"/>
    </w:pPr>
    <w:rPr>
      <w:rFonts w:ascii="Arial" w:eastAsia="Times New Roman" w:hAnsi="Arial" w:cs="Arial"/>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3DEF"/>
    <w:pPr>
      <w:ind w:left="720"/>
      <w:contextualSpacing/>
    </w:pPr>
  </w:style>
  <w:style w:type="paragraph" w:styleId="Textonotapie">
    <w:name w:val="footnote text"/>
    <w:basedOn w:val="Normal"/>
    <w:link w:val="TextonotapieCar"/>
    <w:unhideWhenUsed/>
    <w:rsid w:val="00E63DEF"/>
    <w:pPr>
      <w:jc w:val="left"/>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63DE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E63DEF"/>
    <w:rPr>
      <w:vertAlign w:val="superscript"/>
    </w:rPr>
  </w:style>
  <w:style w:type="paragraph" w:customStyle="1" w:styleId="Texto">
    <w:name w:val="Texto"/>
    <w:basedOn w:val="Normal"/>
    <w:link w:val="TextoCar"/>
    <w:rsid w:val="00E63DEF"/>
    <w:pPr>
      <w:spacing w:after="101" w:line="216" w:lineRule="exact"/>
      <w:ind w:firstLine="288"/>
    </w:pPr>
    <w:rPr>
      <w:rFonts w:ascii="Arial" w:eastAsia="Times New Roman" w:hAnsi="Arial" w:cs="Times New Roman"/>
      <w:sz w:val="18"/>
      <w:szCs w:val="18"/>
      <w:lang w:val="es-ES" w:eastAsia="es-MX"/>
    </w:rPr>
  </w:style>
  <w:style w:type="paragraph" w:styleId="Textosinformato">
    <w:name w:val="Plain Text"/>
    <w:basedOn w:val="Normal"/>
    <w:link w:val="TextosinformatoCar"/>
    <w:rsid w:val="00E63DEF"/>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E63DEF"/>
    <w:rPr>
      <w:rFonts w:ascii="Courier New" w:eastAsia="Times New Roman" w:hAnsi="Courier New" w:cs="Courier New"/>
      <w:sz w:val="20"/>
      <w:szCs w:val="20"/>
      <w:lang w:val="es-ES" w:eastAsia="es-ES"/>
    </w:rPr>
  </w:style>
  <w:style w:type="paragraph" w:styleId="Ttulo">
    <w:name w:val="Title"/>
    <w:basedOn w:val="Normal"/>
    <w:link w:val="TtuloCar"/>
    <w:qFormat/>
    <w:rsid w:val="00E63DEF"/>
    <w:pPr>
      <w:jc w:val="center"/>
    </w:pPr>
    <w:rPr>
      <w:rFonts w:ascii="Times New Roman" w:eastAsia="Times New Roman" w:hAnsi="Times New Roman" w:cs="Times New Roman"/>
      <w:b/>
      <w:sz w:val="28"/>
      <w:szCs w:val="20"/>
      <w:lang w:val="es-ES" w:eastAsia="es-ES"/>
    </w:rPr>
  </w:style>
  <w:style w:type="character" w:customStyle="1" w:styleId="TtuloCar">
    <w:name w:val="Título Car"/>
    <w:basedOn w:val="Fuentedeprrafopredeter"/>
    <w:link w:val="Ttulo"/>
    <w:rsid w:val="00E63DEF"/>
    <w:rPr>
      <w:rFonts w:ascii="Times New Roman" w:eastAsia="Times New Roman" w:hAnsi="Times New Roman" w:cs="Times New Roman"/>
      <w:b/>
      <w:sz w:val="28"/>
      <w:szCs w:val="20"/>
      <w:lang w:val="es-ES" w:eastAsia="es-ES"/>
    </w:rPr>
  </w:style>
  <w:style w:type="paragraph" w:customStyle="1" w:styleId="Default">
    <w:name w:val="Default"/>
    <w:rsid w:val="00E63DEF"/>
    <w:pPr>
      <w:autoSpaceDE w:val="0"/>
      <w:autoSpaceDN w:val="0"/>
      <w:adjustRightInd w:val="0"/>
      <w:spacing w:after="0" w:line="240" w:lineRule="auto"/>
    </w:pPr>
    <w:rPr>
      <w:rFonts w:ascii="Arial" w:hAnsi="Arial" w:cs="Arial"/>
      <w:color w:val="000000"/>
      <w:sz w:val="24"/>
      <w:szCs w:val="24"/>
    </w:rPr>
  </w:style>
  <w:style w:type="paragraph" w:customStyle="1" w:styleId="Prrafodelista1">
    <w:name w:val="Párrafo de lista1"/>
    <w:basedOn w:val="Normal"/>
    <w:uiPriority w:val="99"/>
    <w:qFormat/>
    <w:rsid w:val="00E63DEF"/>
    <w:pPr>
      <w:ind w:left="720"/>
    </w:pPr>
  </w:style>
  <w:style w:type="table" w:customStyle="1" w:styleId="Tablanormal11">
    <w:name w:val="Tabla normal 11"/>
    <w:basedOn w:val="Tablanormal"/>
    <w:uiPriority w:val="41"/>
    <w:rsid w:val="00E63D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Car">
    <w:name w:val="Texto Car"/>
    <w:link w:val="Texto"/>
    <w:locked/>
    <w:rsid w:val="00BB17A0"/>
    <w:rPr>
      <w:rFonts w:ascii="Arial" w:eastAsia="Times New Roman" w:hAnsi="Arial" w:cs="Times New Roman"/>
      <w:sz w:val="18"/>
      <w:szCs w:val="18"/>
      <w:lang w:val="es-ES" w:eastAsia="es-MX"/>
    </w:rPr>
  </w:style>
  <w:style w:type="character" w:customStyle="1" w:styleId="Ttulo4Car">
    <w:name w:val="Título 4 Car"/>
    <w:basedOn w:val="Fuentedeprrafopredeter"/>
    <w:link w:val="Ttulo4"/>
    <w:uiPriority w:val="99"/>
    <w:rsid w:val="00DA389F"/>
    <w:rPr>
      <w:rFonts w:ascii="Arial" w:eastAsia="Times New Roman" w:hAnsi="Arial" w:cs="Arial"/>
      <w:sz w:val="24"/>
      <w:szCs w:val="24"/>
      <w:lang w:val="es-ES" w:eastAsia="es-MX"/>
    </w:rPr>
  </w:style>
  <w:style w:type="paragraph" w:styleId="Textoindependiente3">
    <w:name w:val="Body Text 3"/>
    <w:basedOn w:val="Normal"/>
    <w:link w:val="Textoindependiente3Car"/>
    <w:uiPriority w:val="99"/>
    <w:rsid w:val="00DA389F"/>
    <w:pPr>
      <w:tabs>
        <w:tab w:val="left" w:pos="-720"/>
        <w:tab w:val="left" w:pos="0"/>
        <w:tab w:val="left" w:pos="720"/>
      </w:tabs>
      <w:suppressAutoHyphens/>
    </w:pPr>
    <w:rPr>
      <w:rFonts w:ascii="Times New Roman" w:eastAsia="Times New Roman" w:hAnsi="Times New Roman" w:cs="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DA389F"/>
    <w:rPr>
      <w:rFonts w:ascii="Times New Roman" w:eastAsia="Times New Roman" w:hAnsi="Times New Roman" w:cs="Times New Roman"/>
      <w:spacing w:val="-3"/>
      <w:sz w:val="24"/>
      <w:szCs w:val="24"/>
      <w:lang w:val="es-ES_tradnl" w:eastAsia="es-ES"/>
    </w:rPr>
  </w:style>
  <w:style w:type="paragraph" w:styleId="Encabezado">
    <w:name w:val="header"/>
    <w:basedOn w:val="Normal"/>
    <w:link w:val="EncabezadoCar"/>
    <w:uiPriority w:val="99"/>
    <w:unhideWhenUsed/>
    <w:rsid w:val="00DA389F"/>
    <w:pPr>
      <w:tabs>
        <w:tab w:val="center" w:pos="4419"/>
        <w:tab w:val="right" w:pos="8838"/>
      </w:tabs>
      <w:jc w:val="left"/>
    </w:pPr>
    <w:rPr>
      <w:rFonts w:cs="Times New Roman"/>
    </w:rPr>
  </w:style>
  <w:style w:type="character" w:customStyle="1" w:styleId="EncabezadoCar">
    <w:name w:val="Encabezado Car"/>
    <w:basedOn w:val="Fuentedeprrafopredeter"/>
    <w:link w:val="Encabezado"/>
    <w:uiPriority w:val="99"/>
    <w:rsid w:val="00DA389F"/>
    <w:rPr>
      <w:rFonts w:ascii="Calibri" w:eastAsia="Calibri" w:hAnsi="Calibri" w:cs="Times New Roman"/>
    </w:rPr>
  </w:style>
  <w:style w:type="paragraph" w:styleId="Piedepgina">
    <w:name w:val="footer"/>
    <w:basedOn w:val="Normal"/>
    <w:link w:val="PiedepginaCar"/>
    <w:uiPriority w:val="99"/>
    <w:unhideWhenUsed/>
    <w:rsid w:val="00DA389F"/>
    <w:pPr>
      <w:tabs>
        <w:tab w:val="center" w:pos="4419"/>
        <w:tab w:val="right" w:pos="8838"/>
      </w:tabs>
      <w:jc w:val="left"/>
    </w:pPr>
    <w:rPr>
      <w:rFonts w:cs="Times New Roman"/>
    </w:rPr>
  </w:style>
  <w:style w:type="character" w:customStyle="1" w:styleId="PiedepginaCar">
    <w:name w:val="Pie de página Car"/>
    <w:basedOn w:val="Fuentedeprrafopredeter"/>
    <w:link w:val="Piedepgina"/>
    <w:uiPriority w:val="99"/>
    <w:rsid w:val="00DA389F"/>
    <w:rPr>
      <w:rFonts w:ascii="Calibri" w:eastAsia="Calibri" w:hAnsi="Calibri" w:cs="Times New Roman"/>
    </w:rPr>
  </w:style>
  <w:style w:type="table" w:styleId="Tablaconcuadrcula">
    <w:name w:val="Table Grid"/>
    <w:basedOn w:val="Tablanormal"/>
    <w:uiPriority w:val="59"/>
    <w:rsid w:val="00DA389F"/>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99"/>
    <w:qFormat/>
    <w:rsid w:val="00DA389F"/>
    <w:rPr>
      <w:b/>
      <w:bCs/>
    </w:rPr>
  </w:style>
  <w:style w:type="paragraph" w:styleId="Textodeglobo">
    <w:name w:val="Balloon Text"/>
    <w:basedOn w:val="Normal"/>
    <w:link w:val="TextodegloboCar"/>
    <w:uiPriority w:val="99"/>
    <w:semiHidden/>
    <w:unhideWhenUsed/>
    <w:rsid w:val="00DA3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89F"/>
    <w:rPr>
      <w:rFonts w:ascii="Tahoma" w:eastAsia="Calibri" w:hAnsi="Tahoma" w:cs="Tahoma"/>
      <w:sz w:val="16"/>
      <w:szCs w:val="16"/>
    </w:rPr>
  </w:style>
  <w:style w:type="paragraph" w:styleId="Textonotaalfinal">
    <w:name w:val="endnote text"/>
    <w:basedOn w:val="Normal"/>
    <w:link w:val="TextonotaalfinalCar"/>
    <w:uiPriority w:val="99"/>
    <w:semiHidden/>
    <w:unhideWhenUsed/>
    <w:rsid w:val="00DA389F"/>
    <w:pPr>
      <w:jc w:val="left"/>
    </w:pPr>
    <w:rPr>
      <w:rFonts w:cs="Times New Roman"/>
      <w:sz w:val="20"/>
      <w:szCs w:val="20"/>
    </w:rPr>
  </w:style>
  <w:style w:type="character" w:customStyle="1" w:styleId="TextonotaalfinalCar">
    <w:name w:val="Texto nota al final Car"/>
    <w:basedOn w:val="Fuentedeprrafopredeter"/>
    <w:link w:val="Textonotaalfinal"/>
    <w:uiPriority w:val="99"/>
    <w:semiHidden/>
    <w:rsid w:val="00DA389F"/>
    <w:rPr>
      <w:rFonts w:ascii="Calibri" w:eastAsia="Calibri" w:hAnsi="Calibri" w:cs="Times New Roman"/>
      <w:sz w:val="20"/>
      <w:szCs w:val="20"/>
    </w:rPr>
  </w:style>
  <w:style w:type="character" w:styleId="Refdenotaalfinal">
    <w:name w:val="endnote reference"/>
    <w:uiPriority w:val="99"/>
    <w:semiHidden/>
    <w:unhideWhenUsed/>
    <w:rsid w:val="00DA389F"/>
    <w:rPr>
      <w:vertAlign w:val="superscript"/>
    </w:rPr>
  </w:style>
  <w:style w:type="numbering" w:customStyle="1" w:styleId="Sinlista1">
    <w:name w:val="Sin lista1"/>
    <w:next w:val="Sinlista"/>
    <w:uiPriority w:val="99"/>
    <w:semiHidden/>
    <w:unhideWhenUsed/>
    <w:rsid w:val="00DA389F"/>
  </w:style>
  <w:style w:type="table" w:customStyle="1" w:styleId="Tablaconcuadrcula1">
    <w:name w:val="Tabla con cuadrícula1"/>
    <w:basedOn w:val="Tablanormal"/>
    <w:next w:val="Tablaconcuadrcula"/>
    <w:uiPriority w:val="59"/>
    <w:rsid w:val="00DA389F"/>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uiPriority w:val="41"/>
    <w:rsid w:val="00DA389F"/>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DEF"/>
    <w:pPr>
      <w:spacing w:after="0" w:line="240" w:lineRule="auto"/>
      <w:jc w:val="both"/>
    </w:pPr>
    <w:rPr>
      <w:rFonts w:ascii="Calibri" w:eastAsia="Calibri" w:hAnsi="Calibri" w:cs="Calibri"/>
    </w:rPr>
  </w:style>
  <w:style w:type="paragraph" w:styleId="Ttulo4">
    <w:name w:val="heading 4"/>
    <w:basedOn w:val="Normal"/>
    <w:next w:val="Normal"/>
    <w:link w:val="Ttulo4Car"/>
    <w:uiPriority w:val="99"/>
    <w:qFormat/>
    <w:rsid w:val="00DA389F"/>
    <w:pPr>
      <w:keepNext/>
      <w:outlineLvl w:val="3"/>
    </w:pPr>
    <w:rPr>
      <w:rFonts w:ascii="Arial" w:eastAsia="Times New Roman" w:hAnsi="Arial" w:cs="Arial"/>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3DEF"/>
    <w:pPr>
      <w:ind w:left="720"/>
      <w:contextualSpacing/>
    </w:pPr>
  </w:style>
  <w:style w:type="paragraph" w:styleId="Textonotapie">
    <w:name w:val="footnote text"/>
    <w:basedOn w:val="Normal"/>
    <w:link w:val="TextonotapieCar"/>
    <w:unhideWhenUsed/>
    <w:rsid w:val="00E63DEF"/>
    <w:pPr>
      <w:jc w:val="left"/>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63DE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E63DEF"/>
    <w:rPr>
      <w:vertAlign w:val="superscript"/>
    </w:rPr>
  </w:style>
  <w:style w:type="paragraph" w:customStyle="1" w:styleId="Texto">
    <w:name w:val="Texto"/>
    <w:basedOn w:val="Normal"/>
    <w:link w:val="TextoCar"/>
    <w:rsid w:val="00E63DEF"/>
    <w:pPr>
      <w:spacing w:after="101" w:line="216" w:lineRule="exact"/>
      <w:ind w:firstLine="288"/>
    </w:pPr>
    <w:rPr>
      <w:rFonts w:ascii="Arial" w:eastAsia="Times New Roman" w:hAnsi="Arial" w:cs="Times New Roman"/>
      <w:sz w:val="18"/>
      <w:szCs w:val="18"/>
      <w:lang w:val="es-ES" w:eastAsia="es-MX"/>
    </w:rPr>
  </w:style>
  <w:style w:type="paragraph" w:styleId="Textosinformato">
    <w:name w:val="Plain Text"/>
    <w:basedOn w:val="Normal"/>
    <w:link w:val="TextosinformatoCar"/>
    <w:rsid w:val="00E63DEF"/>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E63DEF"/>
    <w:rPr>
      <w:rFonts w:ascii="Courier New" w:eastAsia="Times New Roman" w:hAnsi="Courier New" w:cs="Courier New"/>
      <w:sz w:val="20"/>
      <w:szCs w:val="20"/>
      <w:lang w:val="es-ES" w:eastAsia="es-ES"/>
    </w:rPr>
  </w:style>
  <w:style w:type="paragraph" w:styleId="Ttulo">
    <w:name w:val="Title"/>
    <w:basedOn w:val="Normal"/>
    <w:link w:val="TtuloCar"/>
    <w:qFormat/>
    <w:rsid w:val="00E63DEF"/>
    <w:pPr>
      <w:jc w:val="center"/>
    </w:pPr>
    <w:rPr>
      <w:rFonts w:ascii="Times New Roman" w:eastAsia="Times New Roman" w:hAnsi="Times New Roman" w:cs="Times New Roman"/>
      <w:b/>
      <w:sz w:val="28"/>
      <w:szCs w:val="20"/>
      <w:lang w:val="es-ES" w:eastAsia="es-ES"/>
    </w:rPr>
  </w:style>
  <w:style w:type="character" w:customStyle="1" w:styleId="TtuloCar">
    <w:name w:val="Título Car"/>
    <w:basedOn w:val="Fuentedeprrafopredeter"/>
    <w:link w:val="Ttulo"/>
    <w:rsid w:val="00E63DEF"/>
    <w:rPr>
      <w:rFonts w:ascii="Times New Roman" w:eastAsia="Times New Roman" w:hAnsi="Times New Roman" w:cs="Times New Roman"/>
      <w:b/>
      <w:sz w:val="28"/>
      <w:szCs w:val="20"/>
      <w:lang w:val="es-ES" w:eastAsia="es-ES"/>
    </w:rPr>
  </w:style>
  <w:style w:type="paragraph" w:customStyle="1" w:styleId="Default">
    <w:name w:val="Default"/>
    <w:rsid w:val="00E63DEF"/>
    <w:pPr>
      <w:autoSpaceDE w:val="0"/>
      <w:autoSpaceDN w:val="0"/>
      <w:adjustRightInd w:val="0"/>
      <w:spacing w:after="0" w:line="240" w:lineRule="auto"/>
    </w:pPr>
    <w:rPr>
      <w:rFonts w:ascii="Arial" w:hAnsi="Arial" w:cs="Arial"/>
      <w:color w:val="000000"/>
      <w:sz w:val="24"/>
      <w:szCs w:val="24"/>
    </w:rPr>
  </w:style>
  <w:style w:type="paragraph" w:customStyle="1" w:styleId="Prrafodelista1">
    <w:name w:val="Párrafo de lista1"/>
    <w:basedOn w:val="Normal"/>
    <w:uiPriority w:val="99"/>
    <w:qFormat/>
    <w:rsid w:val="00E63DEF"/>
    <w:pPr>
      <w:ind w:left="720"/>
    </w:pPr>
  </w:style>
  <w:style w:type="table" w:customStyle="1" w:styleId="Tablanormal11">
    <w:name w:val="Tabla normal 11"/>
    <w:basedOn w:val="Tablanormal"/>
    <w:uiPriority w:val="41"/>
    <w:rsid w:val="00E63D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Car">
    <w:name w:val="Texto Car"/>
    <w:link w:val="Texto"/>
    <w:locked/>
    <w:rsid w:val="00BB17A0"/>
    <w:rPr>
      <w:rFonts w:ascii="Arial" w:eastAsia="Times New Roman" w:hAnsi="Arial" w:cs="Times New Roman"/>
      <w:sz w:val="18"/>
      <w:szCs w:val="18"/>
      <w:lang w:val="es-ES" w:eastAsia="es-MX"/>
    </w:rPr>
  </w:style>
  <w:style w:type="character" w:customStyle="1" w:styleId="Ttulo4Car">
    <w:name w:val="Título 4 Car"/>
    <w:basedOn w:val="Fuentedeprrafopredeter"/>
    <w:link w:val="Ttulo4"/>
    <w:uiPriority w:val="99"/>
    <w:rsid w:val="00DA389F"/>
    <w:rPr>
      <w:rFonts w:ascii="Arial" w:eastAsia="Times New Roman" w:hAnsi="Arial" w:cs="Arial"/>
      <w:sz w:val="24"/>
      <w:szCs w:val="24"/>
      <w:lang w:val="es-ES" w:eastAsia="es-MX"/>
    </w:rPr>
  </w:style>
  <w:style w:type="paragraph" w:styleId="Textoindependiente3">
    <w:name w:val="Body Text 3"/>
    <w:basedOn w:val="Normal"/>
    <w:link w:val="Textoindependiente3Car"/>
    <w:uiPriority w:val="99"/>
    <w:rsid w:val="00DA389F"/>
    <w:pPr>
      <w:tabs>
        <w:tab w:val="left" w:pos="-720"/>
        <w:tab w:val="left" w:pos="0"/>
        <w:tab w:val="left" w:pos="720"/>
      </w:tabs>
      <w:suppressAutoHyphens/>
    </w:pPr>
    <w:rPr>
      <w:rFonts w:ascii="Times New Roman" w:eastAsia="Times New Roman" w:hAnsi="Times New Roman" w:cs="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DA389F"/>
    <w:rPr>
      <w:rFonts w:ascii="Times New Roman" w:eastAsia="Times New Roman" w:hAnsi="Times New Roman" w:cs="Times New Roman"/>
      <w:spacing w:val="-3"/>
      <w:sz w:val="24"/>
      <w:szCs w:val="24"/>
      <w:lang w:val="es-ES_tradnl" w:eastAsia="es-ES"/>
    </w:rPr>
  </w:style>
  <w:style w:type="paragraph" w:styleId="Encabezado">
    <w:name w:val="header"/>
    <w:basedOn w:val="Normal"/>
    <w:link w:val="EncabezadoCar"/>
    <w:uiPriority w:val="99"/>
    <w:unhideWhenUsed/>
    <w:rsid w:val="00DA389F"/>
    <w:pPr>
      <w:tabs>
        <w:tab w:val="center" w:pos="4419"/>
        <w:tab w:val="right" w:pos="8838"/>
      </w:tabs>
      <w:jc w:val="left"/>
    </w:pPr>
    <w:rPr>
      <w:rFonts w:cs="Times New Roman"/>
    </w:rPr>
  </w:style>
  <w:style w:type="character" w:customStyle="1" w:styleId="EncabezadoCar">
    <w:name w:val="Encabezado Car"/>
    <w:basedOn w:val="Fuentedeprrafopredeter"/>
    <w:link w:val="Encabezado"/>
    <w:uiPriority w:val="99"/>
    <w:rsid w:val="00DA389F"/>
    <w:rPr>
      <w:rFonts w:ascii="Calibri" w:eastAsia="Calibri" w:hAnsi="Calibri" w:cs="Times New Roman"/>
    </w:rPr>
  </w:style>
  <w:style w:type="paragraph" w:styleId="Piedepgina">
    <w:name w:val="footer"/>
    <w:basedOn w:val="Normal"/>
    <w:link w:val="PiedepginaCar"/>
    <w:uiPriority w:val="99"/>
    <w:unhideWhenUsed/>
    <w:rsid w:val="00DA389F"/>
    <w:pPr>
      <w:tabs>
        <w:tab w:val="center" w:pos="4419"/>
        <w:tab w:val="right" w:pos="8838"/>
      </w:tabs>
      <w:jc w:val="left"/>
    </w:pPr>
    <w:rPr>
      <w:rFonts w:cs="Times New Roman"/>
    </w:rPr>
  </w:style>
  <w:style w:type="character" w:customStyle="1" w:styleId="PiedepginaCar">
    <w:name w:val="Pie de página Car"/>
    <w:basedOn w:val="Fuentedeprrafopredeter"/>
    <w:link w:val="Piedepgina"/>
    <w:uiPriority w:val="99"/>
    <w:rsid w:val="00DA389F"/>
    <w:rPr>
      <w:rFonts w:ascii="Calibri" w:eastAsia="Calibri" w:hAnsi="Calibri" w:cs="Times New Roman"/>
    </w:rPr>
  </w:style>
  <w:style w:type="table" w:styleId="Tablaconcuadrcula">
    <w:name w:val="Table Grid"/>
    <w:basedOn w:val="Tablanormal"/>
    <w:uiPriority w:val="59"/>
    <w:rsid w:val="00DA389F"/>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99"/>
    <w:qFormat/>
    <w:rsid w:val="00DA389F"/>
    <w:rPr>
      <w:b/>
      <w:bCs/>
    </w:rPr>
  </w:style>
  <w:style w:type="paragraph" w:styleId="Textodeglobo">
    <w:name w:val="Balloon Text"/>
    <w:basedOn w:val="Normal"/>
    <w:link w:val="TextodegloboCar"/>
    <w:uiPriority w:val="99"/>
    <w:semiHidden/>
    <w:unhideWhenUsed/>
    <w:rsid w:val="00DA3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89F"/>
    <w:rPr>
      <w:rFonts w:ascii="Tahoma" w:eastAsia="Calibri" w:hAnsi="Tahoma" w:cs="Tahoma"/>
      <w:sz w:val="16"/>
      <w:szCs w:val="16"/>
    </w:rPr>
  </w:style>
  <w:style w:type="paragraph" w:styleId="Textonotaalfinal">
    <w:name w:val="endnote text"/>
    <w:basedOn w:val="Normal"/>
    <w:link w:val="TextonotaalfinalCar"/>
    <w:uiPriority w:val="99"/>
    <w:semiHidden/>
    <w:unhideWhenUsed/>
    <w:rsid w:val="00DA389F"/>
    <w:pPr>
      <w:jc w:val="left"/>
    </w:pPr>
    <w:rPr>
      <w:rFonts w:cs="Times New Roman"/>
      <w:sz w:val="20"/>
      <w:szCs w:val="20"/>
    </w:rPr>
  </w:style>
  <w:style w:type="character" w:customStyle="1" w:styleId="TextonotaalfinalCar">
    <w:name w:val="Texto nota al final Car"/>
    <w:basedOn w:val="Fuentedeprrafopredeter"/>
    <w:link w:val="Textonotaalfinal"/>
    <w:uiPriority w:val="99"/>
    <w:semiHidden/>
    <w:rsid w:val="00DA389F"/>
    <w:rPr>
      <w:rFonts w:ascii="Calibri" w:eastAsia="Calibri" w:hAnsi="Calibri" w:cs="Times New Roman"/>
      <w:sz w:val="20"/>
      <w:szCs w:val="20"/>
    </w:rPr>
  </w:style>
  <w:style w:type="character" w:styleId="Refdenotaalfinal">
    <w:name w:val="endnote reference"/>
    <w:uiPriority w:val="99"/>
    <w:semiHidden/>
    <w:unhideWhenUsed/>
    <w:rsid w:val="00DA389F"/>
    <w:rPr>
      <w:vertAlign w:val="superscript"/>
    </w:rPr>
  </w:style>
  <w:style w:type="numbering" w:customStyle="1" w:styleId="Sinlista1">
    <w:name w:val="Sin lista1"/>
    <w:next w:val="Sinlista"/>
    <w:uiPriority w:val="99"/>
    <w:semiHidden/>
    <w:unhideWhenUsed/>
    <w:rsid w:val="00DA389F"/>
  </w:style>
  <w:style w:type="table" w:customStyle="1" w:styleId="Tablaconcuadrcula1">
    <w:name w:val="Tabla con cuadrícula1"/>
    <w:basedOn w:val="Tablanormal"/>
    <w:next w:val="Tablaconcuadrcula"/>
    <w:uiPriority w:val="59"/>
    <w:rsid w:val="00DA389F"/>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uiPriority w:val="41"/>
    <w:rsid w:val="00DA389F"/>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02085">
      <w:bodyDiv w:val="1"/>
      <w:marLeft w:val="0"/>
      <w:marRight w:val="0"/>
      <w:marTop w:val="0"/>
      <w:marBottom w:val="0"/>
      <w:divBdr>
        <w:top w:val="none" w:sz="0" w:space="0" w:color="auto"/>
        <w:left w:val="none" w:sz="0" w:space="0" w:color="auto"/>
        <w:bottom w:val="none" w:sz="0" w:space="0" w:color="auto"/>
        <w:right w:val="none" w:sz="0" w:space="0" w:color="auto"/>
      </w:divBdr>
    </w:div>
    <w:div w:id="289167970">
      <w:bodyDiv w:val="1"/>
      <w:marLeft w:val="0"/>
      <w:marRight w:val="0"/>
      <w:marTop w:val="0"/>
      <w:marBottom w:val="0"/>
      <w:divBdr>
        <w:top w:val="none" w:sz="0" w:space="0" w:color="auto"/>
        <w:left w:val="none" w:sz="0" w:space="0" w:color="auto"/>
        <w:bottom w:val="none" w:sz="0" w:space="0" w:color="auto"/>
        <w:right w:val="none" w:sz="0" w:space="0" w:color="auto"/>
      </w:divBdr>
    </w:div>
    <w:div w:id="819688597">
      <w:bodyDiv w:val="1"/>
      <w:marLeft w:val="0"/>
      <w:marRight w:val="0"/>
      <w:marTop w:val="0"/>
      <w:marBottom w:val="0"/>
      <w:divBdr>
        <w:top w:val="none" w:sz="0" w:space="0" w:color="auto"/>
        <w:left w:val="none" w:sz="0" w:space="0" w:color="auto"/>
        <w:bottom w:val="none" w:sz="0" w:space="0" w:color="auto"/>
        <w:right w:val="none" w:sz="0" w:space="0" w:color="auto"/>
      </w:divBdr>
    </w:div>
    <w:div w:id="954294676">
      <w:bodyDiv w:val="1"/>
      <w:marLeft w:val="0"/>
      <w:marRight w:val="0"/>
      <w:marTop w:val="0"/>
      <w:marBottom w:val="0"/>
      <w:divBdr>
        <w:top w:val="none" w:sz="0" w:space="0" w:color="auto"/>
        <w:left w:val="none" w:sz="0" w:space="0" w:color="auto"/>
        <w:bottom w:val="none" w:sz="0" w:space="0" w:color="auto"/>
        <w:right w:val="none" w:sz="0" w:space="0" w:color="auto"/>
      </w:divBdr>
    </w:div>
    <w:div w:id="1094665215">
      <w:bodyDiv w:val="1"/>
      <w:marLeft w:val="0"/>
      <w:marRight w:val="0"/>
      <w:marTop w:val="0"/>
      <w:marBottom w:val="0"/>
      <w:divBdr>
        <w:top w:val="none" w:sz="0" w:space="0" w:color="auto"/>
        <w:left w:val="none" w:sz="0" w:space="0" w:color="auto"/>
        <w:bottom w:val="none" w:sz="0" w:space="0" w:color="auto"/>
        <w:right w:val="none" w:sz="0" w:space="0" w:color="auto"/>
      </w:divBdr>
    </w:div>
    <w:div w:id="1123428145">
      <w:bodyDiv w:val="1"/>
      <w:marLeft w:val="0"/>
      <w:marRight w:val="0"/>
      <w:marTop w:val="0"/>
      <w:marBottom w:val="0"/>
      <w:divBdr>
        <w:top w:val="none" w:sz="0" w:space="0" w:color="auto"/>
        <w:left w:val="none" w:sz="0" w:space="0" w:color="auto"/>
        <w:bottom w:val="none" w:sz="0" w:space="0" w:color="auto"/>
        <w:right w:val="none" w:sz="0" w:space="0" w:color="auto"/>
      </w:divBdr>
    </w:div>
    <w:div w:id="1296832019">
      <w:bodyDiv w:val="1"/>
      <w:marLeft w:val="0"/>
      <w:marRight w:val="0"/>
      <w:marTop w:val="0"/>
      <w:marBottom w:val="0"/>
      <w:divBdr>
        <w:top w:val="none" w:sz="0" w:space="0" w:color="auto"/>
        <w:left w:val="none" w:sz="0" w:space="0" w:color="auto"/>
        <w:bottom w:val="none" w:sz="0" w:space="0" w:color="auto"/>
        <w:right w:val="none" w:sz="0" w:space="0" w:color="auto"/>
      </w:divBdr>
    </w:div>
    <w:div w:id="1853377403">
      <w:bodyDiv w:val="1"/>
      <w:marLeft w:val="0"/>
      <w:marRight w:val="0"/>
      <w:marTop w:val="0"/>
      <w:marBottom w:val="0"/>
      <w:divBdr>
        <w:top w:val="none" w:sz="0" w:space="0" w:color="auto"/>
        <w:left w:val="none" w:sz="0" w:space="0" w:color="auto"/>
        <w:bottom w:val="none" w:sz="0" w:space="0" w:color="auto"/>
        <w:right w:val="none" w:sz="0" w:space="0" w:color="auto"/>
      </w:divBdr>
    </w:div>
    <w:div w:id="210831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2.w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161</Pages>
  <Words>30460</Words>
  <Characters>167536</Characters>
  <Application>Microsoft Office Word</Application>
  <DocSecurity>0</DocSecurity>
  <Lines>1396</Lines>
  <Paragraphs>395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Adrián Alejandro Núñez Romero</dc:creator>
  <cp:lastModifiedBy>Presidencia</cp:lastModifiedBy>
  <cp:revision>2</cp:revision>
  <dcterms:created xsi:type="dcterms:W3CDTF">2017-08-17T20:02:00Z</dcterms:created>
  <dcterms:modified xsi:type="dcterms:W3CDTF">2017-08-17T20:02:00Z</dcterms:modified>
</cp:coreProperties>
</file>